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267A8" w14:textId="0D581F60" w:rsidR="004B7381" w:rsidRDefault="004B7381" w:rsidP="00F468EE">
      <w:pPr>
        <w:jc w:val="center"/>
        <w:rPr>
          <w:b/>
          <w:bCs/>
        </w:rPr>
      </w:pPr>
      <w:r>
        <w:rPr>
          <w:b/>
          <w:bCs/>
        </w:rPr>
        <w:t>VLTAVSKÁ FILHARMONIE</w:t>
      </w:r>
    </w:p>
    <w:p w14:paraId="224E8E9F" w14:textId="2055B0E9" w:rsidR="004B7381" w:rsidRPr="004B7381" w:rsidRDefault="004B7381" w:rsidP="004B7381">
      <w:pPr>
        <w:ind w:left="360"/>
        <w:jc w:val="center"/>
        <w:rPr>
          <w:b/>
          <w:bCs/>
        </w:rPr>
      </w:pPr>
      <w:r w:rsidRPr="004B7381">
        <w:rPr>
          <w:b/>
          <w:bCs/>
        </w:rPr>
        <w:t xml:space="preserve">– </w:t>
      </w:r>
      <w:r>
        <w:rPr>
          <w:b/>
          <w:bCs/>
        </w:rPr>
        <w:t>n</w:t>
      </w:r>
      <w:r w:rsidRPr="004B7381">
        <w:rPr>
          <w:b/>
          <w:bCs/>
        </w:rPr>
        <w:t xml:space="preserve">ové národní </w:t>
      </w:r>
      <w:r w:rsidR="00D027CA">
        <w:rPr>
          <w:b/>
          <w:bCs/>
        </w:rPr>
        <w:t xml:space="preserve">hudební </w:t>
      </w:r>
      <w:r w:rsidRPr="004B7381">
        <w:rPr>
          <w:b/>
          <w:bCs/>
        </w:rPr>
        <w:t>centrum</w:t>
      </w:r>
      <w:r w:rsidR="008A2CA6">
        <w:rPr>
          <w:b/>
          <w:bCs/>
        </w:rPr>
        <w:t xml:space="preserve"> </w:t>
      </w:r>
      <w:r w:rsidRPr="004B7381">
        <w:rPr>
          <w:b/>
          <w:bCs/>
        </w:rPr>
        <w:t xml:space="preserve">– </w:t>
      </w:r>
    </w:p>
    <w:p w14:paraId="544CB763" w14:textId="540E69E4" w:rsidR="00C52701" w:rsidRDefault="004B7381" w:rsidP="008A2CA6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br/>
      </w:r>
      <w:r w:rsidR="00B6705D" w:rsidRPr="00B6705D">
        <w:rPr>
          <w:rFonts w:cstheme="minorHAnsi"/>
          <w:color w:val="000000"/>
        </w:rPr>
        <w:t>Vltavská filharmonie</w:t>
      </w:r>
      <w:r w:rsidR="00C52701">
        <w:rPr>
          <w:rFonts w:cstheme="minorHAnsi"/>
          <w:color w:val="000000"/>
        </w:rPr>
        <w:t xml:space="preserve"> z dílny dánského architektonického studia </w:t>
      </w:r>
      <w:r w:rsidR="00B6705D" w:rsidRPr="00B6705D">
        <w:rPr>
          <w:rFonts w:cstheme="minorHAnsi"/>
          <w:color w:val="000000"/>
        </w:rPr>
        <w:t>Bjarke Ingels Group</w:t>
      </w:r>
      <w:r>
        <w:rPr>
          <w:rFonts w:cstheme="minorHAnsi"/>
          <w:color w:val="000000"/>
        </w:rPr>
        <w:t xml:space="preserve">, které v roce 2022 zvítězilo v mezinárodní architektonické soutěži vypisované hl. m. Prahou, bude </w:t>
      </w:r>
      <w:r w:rsidR="00C52701">
        <w:rPr>
          <w:rFonts w:cstheme="minorHAnsi"/>
          <w:color w:val="000000"/>
        </w:rPr>
        <w:t>k</w:t>
      </w:r>
      <w:r w:rsidR="00B6705D" w:rsidRPr="00B6705D">
        <w:rPr>
          <w:rFonts w:cstheme="minorHAnsi"/>
          <w:color w:val="000000"/>
        </w:rPr>
        <w:t>oncertním sálem</w:t>
      </w:r>
      <w:r w:rsidR="001D5570">
        <w:rPr>
          <w:rFonts w:cstheme="minorHAnsi"/>
          <w:color w:val="000000"/>
        </w:rPr>
        <w:t xml:space="preserve"> špičkové kvality 21. století a </w:t>
      </w:r>
      <w:r w:rsidR="00C52701">
        <w:rPr>
          <w:rFonts w:cstheme="minorHAnsi"/>
          <w:color w:val="000000"/>
        </w:rPr>
        <w:t xml:space="preserve">otevřeným </w:t>
      </w:r>
      <w:r w:rsidR="00B6705D" w:rsidRPr="00B6705D">
        <w:rPr>
          <w:rFonts w:cstheme="minorHAnsi"/>
          <w:color w:val="000000"/>
        </w:rPr>
        <w:t xml:space="preserve">živým </w:t>
      </w:r>
      <w:r w:rsidR="001D5570">
        <w:rPr>
          <w:rFonts w:cstheme="minorHAnsi"/>
          <w:color w:val="000000"/>
        </w:rPr>
        <w:t>kulturním centrem</w:t>
      </w:r>
      <w:r w:rsidR="00C52701">
        <w:rPr>
          <w:rFonts w:cstheme="minorHAnsi"/>
          <w:color w:val="000000"/>
        </w:rPr>
        <w:t>. Stane se zosobněním české hudební tradice a novým kulturním symbolem Prahy</w:t>
      </w:r>
      <w:r w:rsidR="00C25D5C">
        <w:rPr>
          <w:rFonts w:cstheme="minorHAnsi"/>
          <w:color w:val="000000"/>
        </w:rPr>
        <w:t xml:space="preserve"> a </w:t>
      </w:r>
      <w:r w:rsidR="00C52701">
        <w:rPr>
          <w:rFonts w:cstheme="minorHAnsi"/>
          <w:color w:val="000000"/>
        </w:rPr>
        <w:t xml:space="preserve">celé České republiky. </w:t>
      </w:r>
    </w:p>
    <w:p w14:paraId="730802FD" w14:textId="2EA5CC8D" w:rsidR="009621EC" w:rsidRDefault="009621EC">
      <w:pPr>
        <w:rPr>
          <w:rFonts w:cstheme="minorHAnsi"/>
          <w:b/>
          <w:bCs/>
          <w:color w:val="000000"/>
        </w:rPr>
      </w:pPr>
      <w:r w:rsidRPr="009621EC">
        <w:rPr>
          <w:rFonts w:cstheme="minorHAnsi"/>
          <w:b/>
          <w:bCs/>
          <w:color w:val="000000"/>
        </w:rPr>
        <w:t xml:space="preserve">Vltavská filharmonie </w:t>
      </w:r>
      <w:r w:rsidR="005D38A4">
        <w:rPr>
          <w:rFonts w:cstheme="minorHAnsi"/>
          <w:b/>
          <w:bCs/>
          <w:color w:val="000000"/>
        </w:rPr>
        <w:t>v</w:t>
      </w:r>
      <w:r w:rsidR="004B7381">
        <w:rPr>
          <w:rFonts w:cstheme="minorHAnsi"/>
          <w:b/>
          <w:bCs/>
          <w:color w:val="000000"/>
        </w:rPr>
        <w:t> </w:t>
      </w:r>
      <w:r w:rsidR="005D38A4">
        <w:rPr>
          <w:rFonts w:cstheme="minorHAnsi"/>
          <w:b/>
          <w:bCs/>
          <w:color w:val="000000"/>
        </w:rPr>
        <w:t>kostce</w:t>
      </w:r>
      <w:r>
        <w:rPr>
          <w:rFonts w:cstheme="minorHAnsi"/>
          <w:b/>
          <w:bCs/>
          <w:color w:val="000000"/>
        </w:rPr>
        <w:t xml:space="preserve">: 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9B6FFD" w14:paraId="625BBABC" w14:textId="77777777" w:rsidTr="005A6E86">
        <w:tc>
          <w:tcPr>
            <w:tcW w:w="3256" w:type="dxa"/>
          </w:tcPr>
          <w:p w14:paraId="349E5BC5" w14:textId="0C2A9A57" w:rsidR="009B6FFD" w:rsidRPr="004336A5" w:rsidRDefault="009B6FFD" w:rsidP="009B6FFD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Projekt</w:t>
            </w:r>
            <w:r w:rsidR="002601BB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AD109F">
              <w:rPr>
                <w:rFonts w:cstheme="minorHAnsi"/>
                <w:b/>
                <w:bCs/>
                <w:color w:val="000000"/>
              </w:rPr>
              <w:t>tvoří</w:t>
            </w:r>
            <w:r>
              <w:rPr>
                <w:rFonts w:cstheme="minorHAnsi"/>
                <w:b/>
                <w:bCs/>
                <w:color w:val="000000"/>
              </w:rPr>
              <w:t xml:space="preserve">: </w:t>
            </w:r>
          </w:p>
        </w:tc>
        <w:tc>
          <w:tcPr>
            <w:tcW w:w="6520" w:type="dxa"/>
          </w:tcPr>
          <w:p w14:paraId="55B68EEE" w14:textId="2FF4E708" w:rsidR="009B6FFD" w:rsidRPr="001E21FC" w:rsidRDefault="008F7874" w:rsidP="009B6FFD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Hudební </w:t>
            </w:r>
            <w:r w:rsidR="00E927FD" w:rsidRPr="001E21FC">
              <w:rPr>
                <w:rFonts w:cstheme="minorHAnsi"/>
                <w:b/>
                <w:bCs/>
                <w:color w:val="000000"/>
              </w:rPr>
              <w:t xml:space="preserve">sály </w:t>
            </w:r>
            <w:r w:rsidR="00EC2153" w:rsidRPr="001E21F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  <w:p w14:paraId="3A336FFB" w14:textId="0997B42D" w:rsidR="00F13C76" w:rsidRPr="009621EC" w:rsidRDefault="00F13C76" w:rsidP="009B6FF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(hlavní pro 1800 diváků, </w:t>
            </w:r>
            <w:r w:rsidRPr="003C5953">
              <w:rPr>
                <w:rFonts w:cstheme="minorHAnsi"/>
                <w:color w:val="000000"/>
              </w:rPr>
              <w:t xml:space="preserve">malý pro </w:t>
            </w:r>
            <w:r w:rsidR="003C5953" w:rsidRPr="003C5953">
              <w:rPr>
                <w:rFonts w:cstheme="minorHAnsi"/>
                <w:color w:val="000000"/>
              </w:rPr>
              <w:t>550</w:t>
            </w:r>
            <w:r w:rsidRPr="003C5953">
              <w:rPr>
                <w:rFonts w:cstheme="minorHAnsi"/>
                <w:color w:val="000000"/>
              </w:rPr>
              <w:t xml:space="preserve"> diváků</w:t>
            </w:r>
            <w:r>
              <w:rPr>
                <w:rFonts w:cstheme="minorHAnsi"/>
                <w:color w:val="000000"/>
              </w:rPr>
              <w:t xml:space="preserve">, multifunkční pro 500 </w:t>
            </w:r>
            <w:r w:rsidR="00D027CA">
              <w:rPr>
                <w:rFonts w:cstheme="minorHAnsi"/>
                <w:color w:val="000000"/>
              </w:rPr>
              <w:t xml:space="preserve">sedících a 1200 stojících </w:t>
            </w:r>
            <w:r>
              <w:rPr>
                <w:rFonts w:cstheme="minorHAnsi"/>
                <w:color w:val="000000"/>
              </w:rPr>
              <w:t xml:space="preserve">diváků + </w:t>
            </w:r>
            <w:r w:rsidR="00D027CA">
              <w:rPr>
                <w:rFonts w:cstheme="minorHAnsi"/>
                <w:color w:val="000000"/>
              </w:rPr>
              <w:t>školní sál</w:t>
            </w:r>
            <w:r>
              <w:rPr>
                <w:rFonts w:cstheme="minorHAnsi"/>
                <w:color w:val="000000"/>
              </w:rPr>
              <w:t xml:space="preserve"> pro 200 diváků)</w:t>
            </w:r>
          </w:p>
        </w:tc>
      </w:tr>
      <w:tr w:rsidR="00F37D52" w14:paraId="3CA6F66B" w14:textId="77777777" w:rsidTr="005A6E86">
        <w:tc>
          <w:tcPr>
            <w:tcW w:w="3256" w:type="dxa"/>
          </w:tcPr>
          <w:p w14:paraId="0DB3BE1F" w14:textId="77777777" w:rsidR="00F37D52" w:rsidRPr="004336A5" w:rsidRDefault="00F37D52" w:rsidP="009B6FFD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520" w:type="dxa"/>
          </w:tcPr>
          <w:p w14:paraId="41980B5F" w14:textId="77777777" w:rsidR="00F13C76" w:rsidRPr="001E21FC" w:rsidRDefault="00F37D52" w:rsidP="009B6FFD">
            <w:pPr>
              <w:rPr>
                <w:rFonts w:cstheme="minorHAnsi"/>
                <w:b/>
                <w:bCs/>
                <w:color w:val="000000"/>
              </w:rPr>
            </w:pPr>
            <w:r w:rsidRPr="001E21FC">
              <w:rPr>
                <w:rFonts w:cstheme="minorHAnsi"/>
                <w:b/>
                <w:bCs/>
                <w:color w:val="000000"/>
              </w:rPr>
              <w:t xml:space="preserve">Kreativní hub </w:t>
            </w:r>
          </w:p>
          <w:p w14:paraId="43916A47" w14:textId="4AD5BACE" w:rsidR="00F37D52" w:rsidRDefault="00F37D52" w:rsidP="009B6FF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(</w:t>
            </w:r>
            <w:r w:rsidR="00F13C76">
              <w:rPr>
                <w:rFonts w:cstheme="minorHAnsi"/>
                <w:color w:val="000000"/>
              </w:rPr>
              <w:t xml:space="preserve">Hudební oddělení Městské knihovny, </w:t>
            </w:r>
            <w:r w:rsidR="001E21FC">
              <w:rPr>
                <w:rFonts w:cstheme="minorHAnsi"/>
                <w:color w:val="000000"/>
              </w:rPr>
              <w:t xml:space="preserve">zkušebny a </w:t>
            </w:r>
            <w:r w:rsidR="005A6E86">
              <w:rPr>
                <w:rFonts w:cstheme="minorHAnsi"/>
                <w:color w:val="000000"/>
              </w:rPr>
              <w:t>nahrávací studia, edukační prostory)</w:t>
            </w:r>
          </w:p>
        </w:tc>
      </w:tr>
      <w:tr w:rsidR="009B6FFD" w14:paraId="380A28FD" w14:textId="77777777" w:rsidTr="005A6E86">
        <w:tc>
          <w:tcPr>
            <w:tcW w:w="3256" w:type="dxa"/>
          </w:tcPr>
          <w:p w14:paraId="5AFAE510" w14:textId="77777777" w:rsidR="009B6FFD" w:rsidRPr="004336A5" w:rsidRDefault="009B6FFD" w:rsidP="009B6FFD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520" w:type="dxa"/>
          </w:tcPr>
          <w:p w14:paraId="781DD907" w14:textId="000097CB" w:rsidR="001E21FC" w:rsidRPr="001E21FC" w:rsidRDefault="00E927FD" w:rsidP="009B6FFD">
            <w:pPr>
              <w:rPr>
                <w:rFonts w:cstheme="minorHAnsi"/>
                <w:b/>
                <w:bCs/>
                <w:color w:val="000000"/>
              </w:rPr>
            </w:pPr>
            <w:r w:rsidRPr="001E21FC">
              <w:rPr>
                <w:rFonts w:cstheme="minorHAnsi"/>
                <w:b/>
                <w:bCs/>
                <w:color w:val="000000"/>
              </w:rPr>
              <w:t>Zázemí</w:t>
            </w:r>
            <w:r w:rsidR="008D2A35">
              <w:rPr>
                <w:rFonts w:cstheme="minorHAnsi"/>
                <w:b/>
                <w:bCs/>
                <w:color w:val="000000"/>
              </w:rPr>
              <w:t xml:space="preserve"> pro</w:t>
            </w:r>
            <w:r w:rsidRPr="001E21FC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1E21FC" w:rsidRPr="001E21FC">
              <w:rPr>
                <w:rFonts w:cstheme="minorHAnsi"/>
                <w:b/>
                <w:bCs/>
                <w:color w:val="000000"/>
              </w:rPr>
              <w:t>umělce</w:t>
            </w:r>
          </w:p>
          <w:p w14:paraId="66327046" w14:textId="1D9C5417" w:rsidR="009B6FFD" w:rsidRPr="009621EC" w:rsidRDefault="001E21FC" w:rsidP="009B6FF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(</w:t>
            </w:r>
            <w:r w:rsidR="00A71667">
              <w:rPr>
                <w:rFonts w:cstheme="minorHAnsi"/>
                <w:color w:val="000000"/>
              </w:rPr>
              <w:t xml:space="preserve">pro </w:t>
            </w:r>
            <w:r>
              <w:rPr>
                <w:rFonts w:cstheme="minorHAnsi"/>
                <w:color w:val="000000"/>
              </w:rPr>
              <w:t xml:space="preserve">dva </w:t>
            </w:r>
            <w:r w:rsidR="001D737E">
              <w:rPr>
                <w:rFonts w:cstheme="minorHAnsi"/>
                <w:color w:val="000000"/>
              </w:rPr>
              <w:t>r</w:t>
            </w:r>
            <w:r w:rsidR="009B6FFD">
              <w:rPr>
                <w:rFonts w:cstheme="minorHAnsi"/>
                <w:color w:val="000000"/>
              </w:rPr>
              <w:t>ezidenční symfonické orchestry</w:t>
            </w:r>
            <w:r w:rsidR="00E927FD">
              <w:rPr>
                <w:rFonts w:cstheme="minorHAnsi"/>
                <w:color w:val="000000"/>
              </w:rPr>
              <w:t xml:space="preserve"> a hostující </w:t>
            </w:r>
            <w:r>
              <w:rPr>
                <w:rFonts w:cstheme="minorHAnsi"/>
                <w:color w:val="000000"/>
              </w:rPr>
              <w:t>účinkující</w:t>
            </w:r>
            <w:r w:rsidR="008A2CA6">
              <w:rPr>
                <w:rFonts w:cstheme="minorHAnsi"/>
                <w:color w:val="000000"/>
              </w:rPr>
              <w:t>, zkušebna orchestru využitelná i pro hosty</w:t>
            </w:r>
            <w:r>
              <w:rPr>
                <w:rFonts w:cstheme="minorHAnsi"/>
                <w:color w:val="000000"/>
              </w:rPr>
              <w:t xml:space="preserve">) </w:t>
            </w:r>
          </w:p>
        </w:tc>
      </w:tr>
      <w:tr w:rsidR="002B5B39" w14:paraId="17DFFAF4" w14:textId="77777777" w:rsidTr="005A6E86">
        <w:tc>
          <w:tcPr>
            <w:tcW w:w="3256" w:type="dxa"/>
          </w:tcPr>
          <w:p w14:paraId="16DC311F" w14:textId="77777777" w:rsidR="002B5B39" w:rsidRPr="004336A5" w:rsidRDefault="002B5B39" w:rsidP="009B6FFD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520" w:type="dxa"/>
          </w:tcPr>
          <w:p w14:paraId="0D4E09CC" w14:textId="77777777" w:rsidR="001E21FC" w:rsidRPr="001E21FC" w:rsidRDefault="002B5B39" w:rsidP="009B6FFD">
            <w:pPr>
              <w:rPr>
                <w:rFonts w:cstheme="minorHAnsi"/>
                <w:b/>
                <w:bCs/>
                <w:color w:val="000000"/>
              </w:rPr>
            </w:pPr>
            <w:r w:rsidRPr="001E21FC">
              <w:rPr>
                <w:rFonts w:cstheme="minorHAnsi"/>
                <w:b/>
                <w:bCs/>
                <w:color w:val="000000"/>
              </w:rPr>
              <w:t xml:space="preserve">Zázemí pro návštěvníky </w:t>
            </w:r>
          </w:p>
          <w:p w14:paraId="18553507" w14:textId="5127D76E" w:rsidR="002B5B39" w:rsidRDefault="002B5B39" w:rsidP="009B6FF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(</w:t>
            </w:r>
            <w:r w:rsidR="001E21FC">
              <w:rPr>
                <w:rFonts w:cstheme="minorHAnsi"/>
                <w:color w:val="000000"/>
              </w:rPr>
              <w:t xml:space="preserve">vstupní </w:t>
            </w:r>
            <w:r>
              <w:rPr>
                <w:rFonts w:cstheme="minorHAnsi"/>
                <w:color w:val="000000"/>
              </w:rPr>
              <w:t>foyer</w:t>
            </w:r>
            <w:r w:rsidR="00F71193">
              <w:rPr>
                <w:rFonts w:cstheme="minorHAnsi"/>
                <w:color w:val="000000"/>
              </w:rPr>
              <w:t xml:space="preserve"> s</w:t>
            </w:r>
            <w:r w:rsidR="00D027CA">
              <w:rPr>
                <w:rFonts w:cstheme="minorHAnsi"/>
                <w:color w:val="000000"/>
              </w:rPr>
              <w:t> </w:t>
            </w:r>
            <w:r w:rsidR="00F71193">
              <w:rPr>
                <w:rFonts w:cstheme="minorHAnsi"/>
                <w:color w:val="000000"/>
              </w:rPr>
              <w:t>kavárn</w:t>
            </w:r>
            <w:r w:rsidR="00D027CA">
              <w:rPr>
                <w:rFonts w:cstheme="minorHAnsi"/>
                <w:color w:val="000000"/>
              </w:rPr>
              <w:t>ou a občerstveními, bistro a restaurace</w:t>
            </w:r>
            <w:r w:rsidR="001E21FC">
              <w:rPr>
                <w:rFonts w:cstheme="minorHAnsi"/>
                <w:color w:val="000000"/>
              </w:rPr>
              <w:t xml:space="preserve"> na střeše budovy</w:t>
            </w:r>
            <w:r w:rsidR="008D2A35">
              <w:rPr>
                <w:rFonts w:cstheme="minorHAnsi"/>
                <w:color w:val="000000"/>
              </w:rPr>
              <w:t>, pobytové střešní terasy</w:t>
            </w:r>
            <w:r w:rsidR="008A2CA6">
              <w:rPr>
                <w:rFonts w:cstheme="minorHAnsi"/>
                <w:color w:val="000000"/>
              </w:rPr>
              <w:t>, jednotlivé foyer před hudebními sály</w:t>
            </w:r>
            <w:r>
              <w:rPr>
                <w:rFonts w:cstheme="minorHAnsi"/>
                <w:color w:val="000000"/>
              </w:rPr>
              <w:t>)</w:t>
            </w:r>
          </w:p>
        </w:tc>
      </w:tr>
      <w:tr w:rsidR="009B6FFD" w14:paraId="47E882CA" w14:textId="77777777" w:rsidTr="005A6E86">
        <w:tc>
          <w:tcPr>
            <w:tcW w:w="3256" w:type="dxa"/>
          </w:tcPr>
          <w:p w14:paraId="1CACE16C" w14:textId="77777777" w:rsidR="009B6FFD" w:rsidRPr="004336A5" w:rsidRDefault="009B6FFD" w:rsidP="009B6FFD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520" w:type="dxa"/>
          </w:tcPr>
          <w:p w14:paraId="2F50C028" w14:textId="2490661F" w:rsidR="009B6FFD" w:rsidRPr="009621EC" w:rsidRDefault="002601BB" w:rsidP="009B6FFD">
            <w:pPr>
              <w:rPr>
                <w:rFonts w:cstheme="minorHAnsi"/>
                <w:color w:val="000000"/>
              </w:rPr>
            </w:pPr>
            <w:r w:rsidRPr="001E21FC">
              <w:rPr>
                <w:rFonts w:cstheme="minorHAnsi"/>
                <w:b/>
                <w:bCs/>
                <w:color w:val="000000"/>
              </w:rPr>
              <w:t>Veřejný prostor</w:t>
            </w:r>
            <w:r>
              <w:rPr>
                <w:rFonts w:cstheme="minorHAnsi"/>
                <w:color w:val="000000"/>
              </w:rPr>
              <w:t xml:space="preserve"> </w:t>
            </w:r>
            <w:r w:rsidR="00FC3ECD">
              <w:rPr>
                <w:rFonts w:cstheme="minorHAnsi"/>
                <w:color w:val="000000"/>
              </w:rPr>
              <w:br/>
              <w:t>(</w:t>
            </w:r>
            <w:r w:rsidR="00D027CA">
              <w:rPr>
                <w:rFonts w:cstheme="minorHAnsi"/>
                <w:color w:val="000000"/>
              </w:rPr>
              <w:t xml:space="preserve">pobytová střecha a </w:t>
            </w:r>
            <w:r w:rsidR="008F7874">
              <w:rPr>
                <w:rFonts w:cstheme="minorHAnsi"/>
                <w:color w:val="000000"/>
              </w:rPr>
              <w:t xml:space="preserve">velkorysé </w:t>
            </w:r>
            <w:r w:rsidR="00FC3ECD">
              <w:rPr>
                <w:rFonts w:cstheme="minorHAnsi"/>
                <w:color w:val="000000"/>
              </w:rPr>
              <w:t xml:space="preserve">náměstí </w:t>
            </w:r>
            <w:r>
              <w:rPr>
                <w:rFonts w:cstheme="minorHAnsi"/>
                <w:color w:val="000000"/>
              </w:rPr>
              <w:t>s promenádou podél Vltavy</w:t>
            </w:r>
            <w:r w:rsidR="008D2A35">
              <w:rPr>
                <w:rFonts w:cstheme="minorHAnsi"/>
                <w:color w:val="000000"/>
              </w:rPr>
              <w:t>)</w:t>
            </w:r>
          </w:p>
        </w:tc>
      </w:tr>
      <w:tr w:rsidR="009B6FFD" w14:paraId="72C1B217" w14:textId="77777777" w:rsidTr="005A6E86">
        <w:tc>
          <w:tcPr>
            <w:tcW w:w="3256" w:type="dxa"/>
          </w:tcPr>
          <w:p w14:paraId="52EACF78" w14:textId="77777777" w:rsidR="009B6FFD" w:rsidRPr="004336A5" w:rsidRDefault="009B6FFD" w:rsidP="009B6FFD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520" w:type="dxa"/>
          </w:tcPr>
          <w:p w14:paraId="152620B6" w14:textId="6E5FE5FE" w:rsidR="009B6FFD" w:rsidRPr="009621EC" w:rsidRDefault="007B3C39" w:rsidP="009B6FF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Kompletní </w:t>
            </w:r>
            <w:r w:rsidR="00121237">
              <w:rPr>
                <w:rFonts w:cstheme="minorHAnsi"/>
                <w:b/>
                <w:bCs/>
                <w:color w:val="000000"/>
              </w:rPr>
              <w:t>dopravní</w:t>
            </w:r>
            <w:r w:rsidR="00C07208">
              <w:rPr>
                <w:rFonts w:cstheme="minorHAnsi"/>
                <w:b/>
                <w:bCs/>
                <w:color w:val="000000"/>
              </w:rPr>
              <w:t xml:space="preserve"> a technická</w:t>
            </w:r>
            <w:r w:rsidR="00121237">
              <w:rPr>
                <w:rFonts w:cstheme="minorHAnsi"/>
                <w:b/>
                <w:bCs/>
                <w:color w:val="000000"/>
              </w:rPr>
              <w:t xml:space="preserve"> infrastruktura </w:t>
            </w:r>
            <w:r w:rsidR="00FC3ECD">
              <w:rPr>
                <w:rFonts w:cstheme="minorHAnsi"/>
                <w:color w:val="000000"/>
              </w:rPr>
              <w:br/>
              <w:t>(</w:t>
            </w:r>
            <w:r w:rsidR="00C07208">
              <w:rPr>
                <w:rFonts w:cstheme="minorHAnsi"/>
                <w:color w:val="000000"/>
              </w:rPr>
              <w:t>příprava parcely pro výstavbu budovy</w:t>
            </w:r>
            <w:r w:rsidR="00D027CA">
              <w:rPr>
                <w:rFonts w:cstheme="minorHAnsi"/>
                <w:color w:val="000000"/>
              </w:rPr>
              <w:t xml:space="preserve"> dle </w:t>
            </w:r>
            <w:r w:rsidR="008A2CA6">
              <w:rPr>
                <w:rFonts w:cstheme="minorHAnsi"/>
                <w:color w:val="000000"/>
              </w:rPr>
              <w:t xml:space="preserve">Územní studie </w:t>
            </w:r>
            <w:r w:rsidR="00D027CA">
              <w:rPr>
                <w:rFonts w:cstheme="minorHAnsi"/>
                <w:color w:val="000000"/>
              </w:rPr>
              <w:t>Holešovice – Bubny - Zátory</w:t>
            </w:r>
            <w:r w:rsidR="00C07208">
              <w:rPr>
                <w:rFonts w:cstheme="minorHAnsi"/>
                <w:color w:val="000000"/>
              </w:rPr>
              <w:t xml:space="preserve">, zprostupnění území a </w:t>
            </w:r>
            <w:r w:rsidR="00AF0AE1">
              <w:rPr>
                <w:rFonts w:cstheme="minorHAnsi"/>
                <w:color w:val="000000"/>
              </w:rPr>
              <w:t xml:space="preserve">svedení </w:t>
            </w:r>
            <w:r w:rsidR="00FC3ECD">
              <w:rPr>
                <w:rFonts w:cstheme="minorHAnsi"/>
                <w:color w:val="000000"/>
              </w:rPr>
              <w:t>silniční dopravy pod zem)</w:t>
            </w:r>
          </w:p>
        </w:tc>
      </w:tr>
      <w:tr w:rsidR="00FC3ECD" w14:paraId="288AACBD" w14:textId="77777777" w:rsidTr="005A6E86">
        <w:tc>
          <w:tcPr>
            <w:tcW w:w="3256" w:type="dxa"/>
          </w:tcPr>
          <w:p w14:paraId="58594788" w14:textId="77777777" w:rsidR="00FC3ECD" w:rsidRPr="004336A5" w:rsidRDefault="00FC3ECD" w:rsidP="009B6FFD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520" w:type="dxa"/>
          </w:tcPr>
          <w:p w14:paraId="741A1AFF" w14:textId="77777777" w:rsidR="00FC3ECD" w:rsidRPr="009621EC" w:rsidRDefault="00FC3ECD" w:rsidP="009B6FFD">
            <w:pPr>
              <w:rPr>
                <w:rFonts w:cstheme="minorHAnsi"/>
                <w:color w:val="000000"/>
              </w:rPr>
            </w:pPr>
          </w:p>
        </w:tc>
      </w:tr>
      <w:tr w:rsidR="009B6FFD" w14:paraId="033F4C86" w14:textId="77777777" w:rsidTr="005A6E86">
        <w:tc>
          <w:tcPr>
            <w:tcW w:w="3256" w:type="dxa"/>
          </w:tcPr>
          <w:p w14:paraId="418C331D" w14:textId="056D1969" w:rsidR="009B6FFD" w:rsidRPr="004336A5" w:rsidRDefault="009B6FFD" w:rsidP="009B6FFD">
            <w:pPr>
              <w:rPr>
                <w:rFonts w:cstheme="minorHAnsi"/>
                <w:b/>
                <w:bCs/>
                <w:color w:val="000000"/>
              </w:rPr>
            </w:pPr>
            <w:r w:rsidRPr="004336A5">
              <w:rPr>
                <w:rFonts w:cstheme="minorHAnsi"/>
                <w:b/>
                <w:bCs/>
                <w:color w:val="000000"/>
              </w:rPr>
              <w:t xml:space="preserve">Iniciátor projektu: </w:t>
            </w:r>
          </w:p>
        </w:tc>
        <w:tc>
          <w:tcPr>
            <w:tcW w:w="6520" w:type="dxa"/>
          </w:tcPr>
          <w:p w14:paraId="3A91B7A7" w14:textId="038870F6" w:rsidR="009B6FFD" w:rsidRPr="009621EC" w:rsidRDefault="009B6FFD" w:rsidP="009B6FFD">
            <w:pPr>
              <w:rPr>
                <w:rFonts w:cstheme="minorHAnsi"/>
                <w:color w:val="000000"/>
              </w:rPr>
            </w:pPr>
            <w:r w:rsidRPr="009621EC">
              <w:rPr>
                <w:rFonts w:cstheme="minorHAnsi"/>
                <w:color w:val="000000"/>
              </w:rPr>
              <w:t>Hlavní město Praha</w:t>
            </w:r>
          </w:p>
        </w:tc>
      </w:tr>
      <w:tr w:rsidR="009B6FFD" w14:paraId="0B0A5759" w14:textId="77777777" w:rsidTr="005A6E86">
        <w:tc>
          <w:tcPr>
            <w:tcW w:w="3256" w:type="dxa"/>
          </w:tcPr>
          <w:p w14:paraId="7951D95E" w14:textId="77777777" w:rsidR="009B6FFD" w:rsidRPr="004336A5" w:rsidRDefault="009B6FFD" w:rsidP="009B6FFD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520" w:type="dxa"/>
          </w:tcPr>
          <w:p w14:paraId="540CD313" w14:textId="77777777" w:rsidR="009B6FFD" w:rsidRPr="009621EC" w:rsidRDefault="009B6FFD" w:rsidP="009B6FFD">
            <w:pPr>
              <w:rPr>
                <w:rFonts w:cstheme="minorHAnsi"/>
                <w:color w:val="000000"/>
              </w:rPr>
            </w:pPr>
          </w:p>
        </w:tc>
      </w:tr>
      <w:tr w:rsidR="009B6FFD" w14:paraId="0855DCCC" w14:textId="77777777" w:rsidTr="005A6E86">
        <w:tc>
          <w:tcPr>
            <w:tcW w:w="3256" w:type="dxa"/>
          </w:tcPr>
          <w:p w14:paraId="01FF95D5" w14:textId="05C2C409" w:rsidR="009B6FFD" w:rsidRPr="004336A5" w:rsidRDefault="009B6FFD" w:rsidP="009B6FFD">
            <w:pPr>
              <w:rPr>
                <w:rFonts w:cstheme="minorHAnsi"/>
                <w:b/>
                <w:bCs/>
                <w:color w:val="000000"/>
              </w:rPr>
            </w:pPr>
            <w:r w:rsidRPr="004336A5">
              <w:rPr>
                <w:rFonts w:cstheme="minorHAnsi"/>
                <w:b/>
                <w:bCs/>
                <w:color w:val="000000"/>
              </w:rPr>
              <w:t>Aktuální stav projektu</w:t>
            </w:r>
            <w:r>
              <w:rPr>
                <w:rFonts w:cstheme="minorHAnsi"/>
                <w:b/>
                <w:bCs/>
                <w:color w:val="000000"/>
              </w:rPr>
              <w:t xml:space="preserve"> (</w:t>
            </w:r>
            <w:r w:rsidR="00EF77AA">
              <w:rPr>
                <w:rFonts w:cstheme="minorHAnsi"/>
                <w:b/>
                <w:bCs/>
                <w:color w:val="000000"/>
              </w:rPr>
              <w:t>9</w:t>
            </w:r>
            <w:r>
              <w:rPr>
                <w:rFonts w:cstheme="minorHAnsi"/>
                <w:b/>
                <w:bCs/>
                <w:color w:val="000000"/>
              </w:rPr>
              <w:t>/2024)</w:t>
            </w:r>
            <w:r w:rsidRPr="004336A5">
              <w:rPr>
                <w:rFonts w:cstheme="minorHAnsi"/>
                <w:b/>
                <w:bCs/>
                <w:color w:val="000000"/>
              </w:rPr>
              <w:t xml:space="preserve">: </w:t>
            </w:r>
          </w:p>
        </w:tc>
        <w:tc>
          <w:tcPr>
            <w:tcW w:w="6520" w:type="dxa"/>
          </w:tcPr>
          <w:p w14:paraId="4523C553" w14:textId="56C707AD" w:rsidR="009B6FFD" w:rsidRPr="009621EC" w:rsidRDefault="009B6FFD" w:rsidP="009B6FF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Kompletně d</w:t>
            </w:r>
            <w:r w:rsidRPr="009621EC">
              <w:rPr>
                <w:rFonts w:cstheme="minorHAnsi"/>
                <w:color w:val="000000"/>
              </w:rPr>
              <w:t>opracovaná architektonická studie</w:t>
            </w:r>
            <w:r w:rsidR="00EF77AA">
              <w:rPr>
                <w:rFonts w:cstheme="minorHAnsi"/>
                <w:color w:val="000000"/>
              </w:rPr>
              <w:t xml:space="preserve"> (</w:t>
            </w:r>
            <w:r w:rsidR="008A2CA6">
              <w:rPr>
                <w:rFonts w:cstheme="minorHAnsi"/>
                <w:color w:val="000000"/>
              </w:rPr>
              <w:t xml:space="preserve">ve </w:t>
            </w:r>
            <w:r w:rsidR="00EF77AA">
              <w:rPr>
                <w:rFonts w:cstheme="minorHAnsi"/>
                <w:color w:val="000000"/>
              </w:rPr>
              <w:t>100 %)</w:t>
            </w:r>
          </w:p>
        </w:tc>
      </w:tr>
      <w:tr w:rsidR="009B6FFD" w14:paraId="34C9A610" w14:textId="77777777" w:rsidTr="005A6E86">
        <w:tc>
          <w:tcPr>
            <w:tcW w:w="3256" w:type="dxa"/>
          </w:tcPr>
          <w:p w14:paraId="07E373DD" w14:textId="433C3C5F" w:rsidR="009B6FFD" w:rsidRPr="004336A5" w:rsidRDefault="009B6FFD" w:rsidP="009B6FFD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Architekt:</w:t>
            </w:r>
          </w:p>
        </w:tc>
        <w:tc>
          <w:tcPr>
            <w:tcW w:w="6520" w:type="dxa"/>
          </w:tcPr>
          <w:p w14:paraId="3BE0A93F" w14:textId="0006CF0C" w:rsidR="009B6FFD" w:rsidRPr="009621EC" w:rsidRDefault="009B6FFD" w:rsidP="009B6FF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Bjarke Ingels Group (Dánsko) + Afry (Česká republika)</w:t>
            </w:r>
          </w:p>
        </w:tc>
      </w:tr>
      <w:tr w:rsidR="009B6FFD" w14:paraId="7A0EBB17" w14:textId="77777777" w:rsidTr="005A6E86">
        <w:tc>
          <w:tcPr>
            <w:tcW w:w="3256" w:type="dxa"/>
          </w:tcPr>
          <w:p w14:paraId="7184E517" w14:textId="0FA62F7A" w:rsidR="009B6FFD" w:rsidRPr="004336A5" w:rsidRDefault="009B6FFD" w:rsidP="009B6FFD">
            <w:pPr>
              <w:rPr>
                <w:rFonts w:cstheme="minorHAnsi"/>
                <w:b/>
                <w:bCs/>
                <w:color w:val="000000"/>
              </w:rPr>
            </w:pPr>
            <w:r w:rsidRPr="004336A5">
              <w:rPr>
                <w:rFonts w:cstheme="minorHAnsi"/>
                <w:b/>
                <w:bCs/>
                <w:color w:val="000000"/>
              </w:rPr>
              <w:t>Projektov</w:t>
            </w:r>
            <w:r>
              <w:rPr>
                <w:rFonts w:cstheme="minorHAnsi"/>
                <w:b/>
                <w:bCs/>
                <w:color w:val="000000"/>
              </w:rPr>
              <w:t>ý management:</w:t>
            </w:r>
          </w:p>
        </w:tc>
        <w:tc>
          <w:tcPr>
            <w:tcW w:w="6520" w:type="dxa"/>
          </w:tcPr>
          <w:p w14:paraId="1255A103" w14:textId="50CCCC2D" w:rsidR="009B6FFD" w:rsidRPr="009621EC" w:rsidRDefault="009B6FFD" w:rsidP="009B6FF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Delta Projektconsult + JE Group + Fetters management</w:t>
            </w:r>
          </w:p>
        </w:tc>
      </w:tr>
      <w:tr w:rsidR="009B6FFD" w14:paraId="6803EEDD" w14:textId="77777777" w:rsidTr="005A6E86">
        <w:tc>
          <w:tcPr>
            <w:tcW w:w="3256" w:type="dxa"/>
          </w:tcPr>
          <w:p w14:paraId="505D151A" w14:textId="77777777" w:rsidR="009B6FFD" w:rsidRPr="004336A5" w:rsidRDefault="009B6FFD" w:rsidP="009B6FFD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520" w:type="dxa"/>
          </w:tcPr>
          <w:p w14:paraId="1DFF58F2" w14:textId="77777777" w:rsidR="009B6FFD" w:rsidRDefault="009B6FFD" w:rsidP="009B6FFD">
            <w:pPr>
              <w:rPr>
                <w:rFonts w:cstheme="minorHAnsi"/>
                <w:b/>
                <w:bCs/>
                <w:color w:val="000000"/>
              </w:rPr>
            </w:pPr>
          </w:p>
        </w:tc>
      </w:tr>
      <w:tr w:rsidR="009B6FFD" w14:paraId="0C6BE659" w14:textId="77777777" w:rsidTr="005A6E86">
        <w:tc>
          <w:tcPr>
            <w:tcW w:w="3256" w:type="dxa"/>
          </w:tcPr>
          <w:p w14:paraId="0EDE1DC6" w14:textId="60374D37" w:rsidR="009B6FFD" w:rsidRPr="004336A5" w:rsidRDefault="009B6FFD" w:rsidP="009B6FFD">
            <w:pPr>
              <w:rPr>
                <w:rFonts w:cstheme="minorHAnsi"/>
                <w:b/>
                <w:bCs/>
                <w:color w:val="000000"/>
              </w:rPr>
            </w:pPr>
            <w:r w:rsidRPr="004336A5">
              <w:rPr>
                <w:rFonts w:cstheme="minorHAnsi"/>
                <w:b/>
                <w:bCs/>
                <w:color w:val="000000"/>
              </w:rPr>
              <w:t>Plánované zahájení výstavby:</w:t>
            </w:r>
          </w:p>
        </w:tc>
        <w:tc>
          <w:tcPr>
            <w:tcW w:w="6520" w:type="dxa"/>
          </w:tcPr>
          <w:p w14:paraId="7A28DB24" w14:textId="449A22F4" w:rsidR="009B6FFD" w:rsidRDefault="009B6FFD" w:rsidP="009B6FFD">
            <w:pPr>
              <w:rPr>
                <w:rFonts w:cstheme="minorHAnsi"/>
                <w:b/>
                <w:bCs/>
                <w:color w:val="000000"/>
              </w:rPr>
            </w:pPr>
            <w:r w:rsidRPr="009621EC">
              <w:rPr>
                <w:rFonts w:cstheme="minorHAnsi"/>
                <w:color w:val="000000"/>
              </w:rPr>
              <w:t>2027</w:t>
            </w:r>
          </w:p>
        </w:tc>
      </w:tr>
      <w:tr w:rsidR="009B6FFD" w14:paraId="61F6366E" w14:textId="77777777" w:rsidTr="005A6E86">
        <w:tc>
          <w:tcPr>
            <w:tcW w:w="3256" w:type="dxa"/>
          </w:tcPr>
          <w:p w14:paraId="2B4D652F" w14:textId="683BBAA9" w:rsidR="009B6FFD" w:rsidRPr="004336A5" w:rsidRDefault="009B6FFD" w:rsidP="009B6FFD">
            <w:pPr>
              <w:rPr>
                <w:rFonts w:cstheme="minorHAnsi"/>
                <w:b/>
                <w:bCs/>
                <w:color w:val="000000"/>
              </w:rPr>
            </w:pPr>
            <w:r w:rsidRPr="004336A5">
              <w:rPr>
                <w:rFonts w:cstheme="minorHAnsi"/>
                <w:b/>
                <w:bCs/>
                <w:color w:val="000000"/>
              </w:rPr>
              <w:t xml:space="preserve">Plánované dokončení výstavby: </w:t>
            </w:r>
          </w:p>
        </w:tc>
        <w:tc>
          <w:tcPr>
            <w:tcW w:w="6520" w:type="dxa"/>
          </w:tcPr>
          <w:p w14:paraId="532F8B0C" w14:textId="6D9D59ED" w:rsidR="009B6FFD" w:rsidRDefault="009B6FFD" w:rsidP="009B6FFD">
            <w:pPr>
              <w:rPr>
                <w:rFonts w:cstheme="minorHAnsi"/>
                <w:b/>
                <w:bCs/>
                <w:color w:val="000000"/>
              </w:rPr>
            </w:pPr>
            <w:r w:rsidRPr="009621EC">
              <w:rPr>
                <w:rFonts w:cstheme="minorHAnsi"/>
                <w:color w:val="000000"/>
              </w:rPr>
              <w:t>203</w:t>
            </w:r>
            <w:r w:rsidR="00663E43">
              <w:rPr>
                <w:rFonts w:cstheme="minorHAnsi"/>
                <w:color w:val="000000"/>
              </w:rPr>
              <w:t>2</w:t>
            </w:r>
          </w:p>
        </w:tc>
      </w:tr>
      <w:tr w:rsidR="009B6FFD" w14:paraId="1917F5B4" w14:textId="77777777" w:rsidTr="005A6E86">
        <w:tc>
          <w:tcPr>
            <w:tcW w:w="3256" w:type="dxa"/>
          </w:tcPr>
          <w:p w14:paraId="10A4DC3C" w14:textId="4B20C224" w:rsidR="009B6FFD" w:rsidRPr="004336A5" w:rsidRDefault="009B6FFD" w:rsidP="009B6FFD">
            <w:pPr>
              <w:rPr>
                <w:rFonts w:cstheme="minorHAnsi"/>
                <w:b/>
                <w:bCs/>
                <w:color w:val="000000"/>
              </w:rPr>
            </w:pPr>
            <w:r w:rsidRPr="004336A5">
              <w:rPr>
                <w:rFonts w:cstheme="minorHAnsi"/>
                <w:b/>
                <w:bCs/>
                <w:color w:val="000000"/>
              </w:rPr>
              <w:t xml:space="preserve">Plánované </w:t>
            </w:r>
            <w:r w:rsidR="008150DE">
              <w:rPr>
                <w:rFonts w:cstheme="minorHAnsi"/>
                <w:b/>
                <w:bCs/>
                <w:color w:val="000000"/>
              </w:rPr>
              <w:t xml:space="preserve">uvedení do provozu: </w:t>
            </w:r>
            <w:r w:rsidRPr="004336A5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6520" w:type="dxa"/>
          </w:tcPr>
          <w:p w14:paraId="1FA1B135" w14:textId="1C7A4D00" w:rsidR="009B6FFD" w:rsidRDefault="009B6FFD" w:rsidP="009B6FFD">
            <w:pPr>
              <w:rPr>
                <w:rFonts w:cstheme="minorHAnsi"/>
                <w:b/>
                <w:bCs/>
                <w:color w:val="000000"/>
              </w:rPr>
            </w:pPr>
            <w:r w:rsidRPr="009621EC">
              <w:rPr>
                <w:rFonts w:cstheme="minorHAnsi"/>
                <w:color w:val="000000"/>
              </w:rPr>
              <w:t>203</w:t>
            </w:r>
            <w:r w:rsidR="00663E43">
              <w:rPr>
                <w:rFonts w:cstheme="minorHAnsi"/>
                <w:color w:val="000000"/>
              </w:rPr>
              <w:t>3</w:t>
            </w:r>
          </w:p>
        </w:tc>
      </w:tr>
      <w:tr w:rsidR="009B6FFD" w14:paraId="7351ED2A" w14:textId="77777777" w:rsidTr="005A6E86">
        <w:tc>
          <w:tcPr>
            <w:tcW w:w="3256" w:type="dxa"/>
          </w:tcPr>
          <w:p w14:paraId="386CA700" w14:textId="656E85BA" w:rsidR="009B6FFD" w:rsidRPr="004336A5" w:rsidRDefault="009B6FFD" w:rsidP="009B6FFD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6520" w:type="dxa"/>
          </w:tcPr>
          <w:p w14:paraId="3B4F7BEC" w14:textId="7112485A" w:rsidR="009B6FFD" w:rsidRDefault="009B6FFD" w:rsidP="009B6FFD">
            <w:pPr>
              <w:rPr>
                <w:rFonts w:cstheme="minorHAnsi"/>
                <w:b/>
                <w:bCs/>
                <w:color w:val="000000"/>
              </w:rPr>
            </w:pPr>
          </w:p>
        </w:tc>
      </w:tr>
      <w:tr w:rsidR="009B6FFD" w14:paraId="6601B6E2" w14:textId="77777777" w:rsidTr="005A6E86">
        <w:tc>
          <w:tcPr>
            <w:tcW w:w="3256" w:type="dxa"/>
          </w:tcPr>
          <w:p w14:paraId="25A84602" w14:textId="0C4E06EE" w:rsidR="009B6FFD" w:rsidRPr="004336A5" w:rsidRDefault="009B6FFD" w:rsidP="009B6FFD">
            <w:pPr>
              <w:rPr>
                <w:rFonts w:cstheme="minorHAnsi"/>
                <w:b/>
                <w:bCs/>
                <w:color w:val="000000"/>
              </w:rPr>
            </w:pPr>
            <w:r w:rsidRPr="004336A5">
              <w:rPr>
                <w:rFonts w:cstheme="minorHAnsi"/>
                <w:b/>
                <w:bCs/>
                <w:color w:val="000000"/>
              </w:rPr>
              <w:t>Odhadované náklady</w:t>
            </w:r>
            <w:r w:rsidR="00D027CA">
              <w:rPr>
                <w:rFonts w:cstheme="minorHAnsi"/>
                <w:b/>
                <w:bCs/>
                <w:color w:val="000000"/>
              </w:rPr>
              <w:t xml:space="preserve"> stavba VF</w:t>
            </w:r>
            <w:r w:rsidRPr="004336A5">
              <w:rPr>
                <w:rFonts w:cstheme="minorHAnsi"/>
                <w:b/>
                <w:bCs/>
                <w:color w:val="000000"/>
              </w:rPr>
              <w:t xml:space="preserve">: </w:t>
            </w:r>
          </w:p>
        </w:tc>
        <w:tc>
          <w:tcPr>
            <w:tcW w:w="6520" w:type="dxa"/>
          </w:tcPr>
          <w:p w14:paraId="43927E3D" w14:textId="51523C8C" w:rsidR="009B6FFD" w:rsidRDefault="008727C4" w:rsidP="005A6E86">
            <w:pPr>
              <w:ind w:right="-391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</w:t>
            </w:r>
            <w:r w:rsidR="009B6FFD">
              <w:rPr>
                <w:rFonts w:cstheme="minorHAnsi"/>
                <w:color w:val="000000"/>
              </w:rPr>
              <w:t>,</w:t>
            </w:r>
            <w:r>
              <w:rPr>
                <w:rFonts w:cstheme="minorHAnsi"/>
                <w:color w:val="000000"/>
              </w:rPr>
              <w:t>6</w:t>
            </w:r>
            <w:r w:rsidR="008F780A">
              <w:rPr>
                <w:rFonts w:cstheme="minorHAnsi"/>
                <w:color w:val="000000"/>
              </w:rPr>
              <w:t>5</w:t>
            </w:r>
            <w:r w:rsidR="009B6FFD">
              <w:rPr>
                <w:rFonts w:cstheme="minorHAnsi"/>
                <w:color w:val="000000"/>
              </w:rPr>
              <w:t xml:space="preserve"> miliardy Kč </w:t>
            </w:r>
            <w:r w:rsidR="00A752B3">
              <w:rPr>
                <w:rFonts w:cstheme="minorHAnsi"/>
                <w:color w:val="000000"/>
              </w:rPr>
              <w:br/>
            </w:r>
            <w:r w:rsidR="009B6FFD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  <w:color w:val="000000"/>
              </w:rPr>
              <w:t xml:space="preserve">cenová aktualizace provedena v 9/2024) </w:t>
            </w:r>
          </w:p>
        </w:tc>
      </w:tr>
      <w:tr w:rsidR="00D027CA" w14:paraId="4F0D8C01" w14:textId="77777777" w:rsidTr="005A6E86">
        <w:tc>
          <w:tcPr>
            <w:tcW w:w="3256" w:type="dxa"/>
          </w:tcPr>
          <w:p w14:paraId="7D266959" w14:textId="1AF95748" w:rsidR="00D027CA" w:rsidRPr="004336A5" w:rsidRDefault="00D027CA" w:rsidP="009B6FFD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Odhadované náklady </w:t>
            </w:r>
            <w:r w:rsidR="00DD4222">
              <w:rPr>
                <w:rFonts w:cstheme="minorHAnsi"/>
                <w:b/>
                <w:bCs/>
                <w:color w:val="000000"/>
              </w:rPr>
              <w:t>na související projekty v území dle Ú</w:t>
            </w:r>
            <w:r w:rsidR="008A2CA6">
              <w:rPr>
                <w:rFonts w:cstheme="minorHAnsi"/>
                <w:b/>
                <w:bCs/>
                <w:color w:val="000000"/>
              </w:rPr>
              <w:t>zemní studie</w:t>
            </w:r>
            <w:r>
              <w:rPr>
                <w:rFonts w:cstheme="minorHAnsi"/>
                <w:b/>
                <w:bCs/>
                <w:color w:val="000000"/>
              </w:rPr>
              <w:t>:</w:t>
            </w:r>
          </w:p>
        </w:tc>
        <w:tc>
          <w:tcPr>
            <w:tcW w:w="6520" w:type="dxa"/>
          </w:tcPr>
          <w:p w14:paraId="45A466EE" w14:textId="33046315" w:rsidR="00D027CA" w:rsidRDefault="00D027CA" w:rsidP="005A6E86">
            <w:pPr>
              <w:ind w:right="-391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4,</w:t>
            </w:r>
            <w:r w:rsidR="004E1474">
              <w:rPr>
                <w:rFonts w:cstheme="minorHAnsi"/>
                <w:color w:val="000000"/>
              </w:rPr>
              <w:t>8</w:t>
            </w:r>
            <w:r>
              <w:rPr>
                <w:rFonts w:cstheme="minorHAnsi"/>
                <w:color w:val="000000"/>
              </w:rPr>
              <w:t xml:space="preserve"> mld Kč</w:t>
            </w:r>
          </w:p>
        </w:tc>
      </w:tr>
      <w:tr w:rsidR="00DD4222" w14:paraId="05CA8D40" w14:textId="77777777" w:rsidTr="005A6E86">
        <w:tc>
          <w:tcPr>
            <w:tcW w:w="3256" w:type="dxa"/>
          </w:tcPr>
          <w:p w14:paraId="7CC44873" w14:textId="52533BA9" w:rsidR="00DD4222" w:rsidRDefault="00DD4222" w:rsidP="009B6FFD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V tuto chvíli odhadované náklady na připravované investiční procesy v území CELKEM (vč. V</w:t>
            </w:r>
            <w:r w:rsidR="008A2CA6">
              <w:rPr>
                <w:rFonts w:cstheme="minorHAnsi"/>
                <w:b/>
                <w:bCs/>
                <w:color w:val="000000"/>
              </w:rPr>
              <w:t>L</w:t>
            </w:r>
            <w:r>
              <w:rPr>
                <w:rFonts w:cstheme="minorHAnsi"/>
                <w:b/>
                <w:bCs/>
                <w:color w:val="000000"/>
              </w:rPr>
              <w:t>F)</w:t>
            </w:r>
          </w:p>
        </w:tc>
        <w:tc>
          <w:tcPr>
            <w:tcW w:w="6520" w:type="dxa"/>
          </w:tcPr>
          <w:p w14:paraId="111C4D34" w14:textId="1A612124" w:rsidR="00DD4222" w:rsidRDefault="00DD4222" w:rsidP="005A6E86">
            <w:pPr>
              <w:ind w:right="-391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23 mld </w:t>
            </w:r>
            <w:r w:rsidR="008A2CA6">
              <w:rPr>
                <w:rFonts w:cstheme="minorHAnsi"/>
                <w:color w:val="000000"/>
              </w:rPr>
              <w:t>Kč</w:t>
            </w:r>
          </w:p>
        </w:tc>
      </w:tr>
    </w:tbl>
    <w:p w14:paraId="12534949" w14:textId="2BA0BE70" w:rsidR="006F6B7C" w:rsidRDefault="00DD4222" w:rsidP="009621EC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</w:t>
      </w:r>
    </w:p>
    <w:p w14:paraId="5F41338A" w14:textId="77777777" w:rsidR="0080349D" w:rsidRDefault="0080349D">
      <w:pPr>
        <w:rPr>
          <w:b/>
          <w:bCs/>
        </w:rPr>
      </w:pPr>
      <w:r>
        <w:rPr>
          <w:b/>
          <w:bCs/>
        </w:rPr>
        <w:br w:type="page"/>
      </w:r>
    </w:p>
    <w:p w14:paraId="6EDF9861" w14:textId="284E4F34" w:rsidR="00C37005" w:rsidRDefault="003B0F7B" w:rsidP="00301E18">
      <w:pPr>
        <w:rPr>
          <w:b/>
          <w:bCs/>
        </w:rPr>
      </w:pPr>
      <w:r>
        <w:rPr>
          <w:b/>
          <w:bCs/>
        </w:rPr>
        <w:lastRenderedPageBreak/>
        <w:t xml:space="preserve">Proč </w:t>
      </w:r>
      <w:r w:rsidR="007B0C21">
        <w:rPr>
          <w:b/>
          <w:bCs/>
        </w:rPr>
        <w:t xml:space="preserve">nová budova filharmonie? </w:t>
      </w:r>
      <w:r w:rsidR="00C37005">
        <w:rPr>
          <w:b/>
          <w:bCs/>
        </w:rPr>
        <w:t xml:space="preserve"> </w:t>
      </w:r>
    </w:p>
    <w:p w14:paraId="1DAE94AA" w14:textId="417D5025" w:rsidR="009076AD" w:rsidRDefault="00FD2A9F" w:rsidP="003F1C87">
      <w:pPr>
        <w:pStyle w:val="Odstavecseseznamem"/>
        <w:numPr>
          <w:ilvl w:val="0"/>
          <w:numId w:val="5"/>
        </w:numPr>
      </w:pPr>
      <w:r>
        <w:rPr>
          <w:b/>
          <w:bCs/>
        </w:rPr>
        <w:t>Špičkov</w:t>
      </w:r>
      <w:r w:rsidR="00702419">
        <w:rPr>
          <w:b/>
          <w:bCs/>
        </w:rPr>
        <w:t>é hudební zázemí</w:t>
      </w:r>
      <w:r w:rsidR="00CF2C2B">
        <w:t xml:space="preserve">. Hudební síně využívané </w:t>
      </w:r>
      <w:r w:rsidR="00E610B7">
        <w:t xml:space="preserve">dnes </w:t>
      </w:r>
      <w:r w:rsidR="00CF2C2B">
        <w:t>(Rudolfinum a Obecní dům) byly postaveny před 1</w:t>
      </w:r>
      <w:r w:rsidR="001653A8">
        <w:t>1</w:t>
      </w:r>
      <w:r w:rsidR="00CF2C2B">
        <w:t xml:space="preserve">0 lety a dnes </w:t>
      </w:r>
      <w:r w:rsidR="00E610B7">
        <w:t xml:space="preserve">hudební produkci </w:t>
      </w:r>
      <w:r w:rsidR="00CF2C2B">
        <w:t xml:space="preserve">nevyhovují svou omezenou kapacitou, akustickými možnosti i zázemím pro hudebníky i návštěvníky. </w:t>
      </w:r>
    </w:p>
    <w:p w14:paraId="573C30AC" w14:textId="77777777" w:rsidR="00DD6006" w:rsidRDefault="00DD6006" w:rsidP="00DD6006">
      <w:pPr>
        <w:pStyle w:val="Odstavecseseznamem"/>
        <w:ind w:left="820"/>
      </w:pPr>
    </w:p>
    <w:p w14:paraId="0954E023" w14:textId="45B3C782" w:rsidR="00442318" w:rsidRDefault="002A5D7C" w:rsidP="003F1C87">
      <w:pPr>
        <w:pStyle w:val="Odstavecseseznamem"/>
        <w:numPr>
          <w:ilvl w:val="0"/>
          <w:numId w:val="5"/>
        </w:numPr>
      </w:pPr>
      <w:r>
        <w:rPr>
          <w:b/>
          <w:bCs/>
        </w:rPr>
        <w:t>Živoucí kulturní centrum</w:t>
      </w:r>
      <w:r w:rsidR="00DD6006" w:rsidRPr="00DD6006">
        <w:t>.</w:t>
      </w:r>
      <w:r w:rsidR="00DD6006">
        <w:t xml:space="preserve"> Ambicí Prahy je </w:t>
      </w:r>
      <w:r w:rsidR="00E610B7">
        <w:t xml:space="preserve">být nejen městem </w:t>
      </w:r>
      <w:r w:rsidR="00442318">
        <w:t xml:space="preserve">historických </w:t>
      </w:r>
      <w:r w:rsidR="00DD6006">
        <w:t xml:space="preserve">památek, ale také </w:t>
      </w:r>
      <w:r w:rsidR="00E610B7">
        <w:t xml:space="preserve">inspirativním centrem </w:t>
      </w:r>
      <w:r w:rsidR="00DD6006">
        <w:t xml:space="preserve">živé kultury v národním </w:t>
      </w:r>
      <w:r w:rsidR="00442318">
        <w:t>a</w:t>
      </w:r>
      <w:r w:rsidR="00DD6006">
        <w:t xml:space="preserve"> evropském kontextu. Nová budova filharmonie je nutným předpokladem</w:t>
      </w:r>
      <w:r w:rsidR="00442318">
        <w:t xml:space="preserve"> proto</w:t>
      </w:r>
      <w:r w:rsidR="00DD6006">
        <w:t xml:space="preserve">, aby se tato ambice mohla </w:t>
      </w:r>
      <w:r w:rsidR="00E610B7">
        <w:t xml:space="preserve">uskutečnit. </w:t>
      </w:r>
      <w:r w:rsidR="00DD6006">
        <w:t xml:space="preserve">  </w:t>
      </w:r>
    </w:p>
    <w:p w14:paraId="182750FF" w14:textId="77777777" w:rsidR="00442318" w:rsidRDefault="00442318" w:rsidP="00442318">
      <w:pPr>
        <w:pStyle w:val="Odstavecseseznamem"/>
      </w:pPr>
    </w:p>
    <w:p w14:paraId="5C49B0F2" w14:textId="7E488F77" w:rsidR="00DD6006" w:rsidRDefault="00ED7BC3" w:rsidP="003F1C87">
      <w:pPr>
        <w:pStyle w:val="Odstavecseseznamem"/>
        <w:numPr>
          <w:ilvl w:val="0"/>
          <w:numId w:val="5"/>
        </w:numPr>
      </w:pPr>
      <w:r>
        <w:rPr>
          <w:b/>
          <w:bCs/>
        </w:rPr>
        <w:t xml:space="preserve">Národní </w:t>
      </w:r>
      <w:r w:rsidR="005A6A30">
        <w:rPr>
          <w:b/>
          <w:bCs/>
        </w:rPr>
        <w:t xml:space="preserve">kulturní </w:t>
      </w:r>
      <w:r w:rsidR="00442318" w:rsidRPr="00442318">
        <w:rPr>
          <w:b/>
          <w:bCs/>
        </w:rPr>
        <w:t>symbol</w:t>
      </w:r>
      <w:r w:rsidR="00442318">
        <w:t xml:space="preserve">. Vltavská filharmonie bude otevřený kulturní a kreativní prostor sloužící denně </w:t>
      </w:r>
      <w:r w:rsidR="00C12CD2">
        <w:t xml:space="preserve">nejen </w:t>
      </w:r>
      <w:r w:rsidR="00442318">
        <w:t xml:space="preserve">Pražanům, </w:t>
      </w:r>
      <w:r w:rsidR="00C12CD2">
        <w:t xml:space="preserve">ale </w:t>
      </w:r>
      <w:r w:rsidR="00442318">
        <w:t xml:space="preserve">návštěvníkům ze všech koutů České republiky. </w:t>
      </w:r>
      <w:r w:rsidR="00DD6006">
        <w:t xml:space="preserve"> </w:t>
      </w:r>
    </w:p>
    <w:p w14:paraId="37FA755D" w14:textId="77777777" w:rsidR="00442318" w:rsidRDefault="00442318" w:rsidP="00442318">
      <w:pPr>
        <w:pStyle w:val="Odstavecseseznamem"/>
      </w:pPr>
    </w:p>
    <w:p w14:paraId="339BA2CC" w14:textId="1E532552" w:rsidR="003640E6" w:rsidRDefault="00BC5A79" w:rsidP="003F1C87">
      <w:pPr>
        <w:pStyle w:val="Odstavecseseznamem"/>
        <w:numPr>
          <w:ilvl w:val="0"/>
          <w:numId w:val="5"/>
        </w:numPr>
      </w:pPr>
      <w:r>
        <w:rPr>
          <w:b/>
          <w:bCs/>
        </w:rPr>
        <w:t xml:space="preserve">Architektonická </w:t>
      </w:r>
      <w:r w:rsidR="003640E6" w:rsidRPr="003640E6">
        <w:rPr>
          <w:b/>
          <w:bCs/>
        </w:rPr>
        <w:t>dominanta</w:t>
      </w:r>
      <w:r w:rsidR="00E610B7">
        <w:rPr>
          <w:b/>
          <w:bCs/>
        </w:rPr>
        <w:t xml:space="preserve"> Prahy</w:t>
      </w:r>
      <w:r w:rsidR="003640E6">
        <w:t xml:space="preserve">. Díky výjimečnému návrhu dánského </w:t>
      </w:r>
      <w:r>
        <w:t xml:space="preserve">architektonického </w:t>
      </w:r>
      <w:r w:rsidR="003640E6">
        <w:t xml:space="preserve">studia Bjarke Ingels Group se budova Vltavské filharmonie zařadí mezi pražské dominanty, které jsou navštěvované nejen obyvateli Prahy, ale i turisty z českých regionů a ze zahraničí. </w:t>
      </w:r>
    </w:p>
    <w:p w14:paraId="74C13D7B" w14:textId="77777777" w:rsidR="003640E6" w:rsidRDefault="003640E6" w:rsidP="003640E6">
      <w:pPr>
        <w:pStyle w:val="Odstavecseseznamem"/>
      </w:pPr>
    </w:p>
    <w:p w14:paraId="37D9C229" w14:textId="35CD36C2" w:rsidR="00442318" w:rsidRDefault="00160C56" w:rsidP="003F1C87">
      <w:pPr>
        <w:pStyle w:val="Odstavecseseznamem"/>
        <w:numPr>
          <w:ilvl w:val="0"/>
          <w:numId w:val="5"/>
        </w:numPr>
      </w:pPr>
      <w:r w:rsidRPr="00160C56">
        <w:rPr>
          <w:b/>
          <w:bCs/>
        </w:rPr>
        <w:t xml:space="preserve">Impuls pro </w:t>
      </w:r>
      <w:r w:rsidR="00B7030E">
        <w:rPr>
          <w:b/>
          <w:bCs/>
        </w:rPr>
        <w:t xml:space="preserve">městský </w:t>
      </w:r>
      <w:r w:rsidRPr="00160C56">
        <w:rPr>
          <w:b/>
          <w:bCs/>
        </w:rPr>
        <w:t>rozvoj</w:t>
      </w:r>
      <w:r>
        <w:t xml:space="preserve">. </w:t>
      </w:r>
      <w:r w:rsidR="002A4406">
        <w:t xml:space="preserve">Výstavba budovy filharmonie </w:t>
      </w:r>
      <w:r w:rsidR="001653A8">
        <w:t xml:space="preserve">využije </w:t>
      </w:r>
      <w:r w:rsidR="002A4406">
        <w:t xml:space="preserve">nové urbanistické řešení Vltavské a odemkne potenciál </w:t>
      </w:r>
      <w:r w:rsidR="00C07208">
        <w:t xml:space="preserve">dnes nevyužitého </w:t>
      </w:r>
      <w:r w:rsidR="002A4406">
        <w:t xml:space="preserve">rozvojového území </w:t>
      </w:r>
      <w:r w:rsidR="001653A8">
        <w:t>Holešovice</w:t>
      </w:r>
      <w:r w:rsidR="008A2CA6">
        <w:t xml:space="preserve"> –</w:t>
      </w:r>
      <w:r w:rsidR="001653A8">
        <w:t xml:space="preserve"> </w:t>
      </w:r>
      <w:r w:rsidR="002A4406">
        <w:t xml:space="preserve">Bubny – Zátory. Odstartuje vznik nové městské čtvrti </w:t>
      </w:r>
      <w:r w:rsidR="00606A6A">
        <w:t xml:space="preserve">pro 25.000 obyvatel </w:t>
      </w:r>
      <w:r w:rsidR="002A4406">
        <w:t xml:space="preserve">v širším centru Prahy. </w:t>
      </w:r>
    </w:p>
    <w:p w14:paraId="0FB88D01" w14:textId="252A0165" w:rsidR="00442318" w:rsidRDefault="00442318" w:rsidP="00337679">
      <w:pPr>
        <w:pStyle w:val="Odstavecseseznamem"/>
        <w:ind w:left="820"/>
      </w:pPr>
    </w:p>
    <w:p w14:paraId="1A1FD321" w14:textId="77777777" w:rsidR="009A0785" w:rsidRPr="00C61B30" w:rsidRDefault="009A0785" w:rsidP="009A0785">
      <w:pPr>
        <w:rPr>
          <w:b/>
          <w:bCs/>
        </w:rPr>
      </w:pPr>
      <w:r>
        <w:rPr>
          <w:b/>
          <w:bCs/>
        </w:rPr>
        <w:t>Proč Vltavská?</w:t>
      </w:r>
    </w:p>
    <w:p w14:paraId="7BF82947" w14:textId="4A224BB7" w:rsidR="001653A8" w:rsidRDefault="005C29FD" w:rsidP="009A0785">
      <w:pPr>
        <w:pStyle w:val="Odstavecseseznamem"/>
        <w:numPr>
          <w:ilvl w:val="0"/>
          <w:numId w:val="3"/>
        </w:numPr>
      </w:pPr>
      <w:r w:rsidRPr="005C29FD">
        <w:rPr>
          <w:b/>
          <w:bCs/>
        </w:rPr>
        <w:t>Nejlepší výběr ze 30 možných lokalit</w:t>
      </w:r>
      <w:r>
        <w:t xml:space="preserve">. Jedná se o poslední volnou prestižní parcelu u Vltavy. Umístění stavby Vltavské filharmonie umožní koncepčně vyřešit urbanistický rozvoj daného území a nastartovat jeho transformaci. </w:t>
      </w:r>
    </w:p>
    <w:p w14:paraId="05B02EF5" w14:textId="77777777" w:rsidR="008A2CA6" w:rsidRPr="005C29FD" w:rsidRDefault="008A2CA6" w:rsidP="005C29FD">
      <w:pPr>
        <w:pStyle w:val="Odstavecseseznamem"/>
      </w:pPr>
    </w:p>
    <w:p w14:paraId="51F34DE3" w14:textId="0EFBB3A6" w:rsidR="009A0785" w:rsidRDefault="009A0785" w:rsidP="009A0785">
      <w:pPr>
        <w:pStyle w:val="Odstavecseseznamem"/>
        <w:numPr>
          <w:ilvl w:val="0"/>
          <w:numId w:val="3"/>
        </w:numPr>
      </w:pPr>
      <w:r w:rsidRPr="00860DCC">
        <w:rPr>
          <w:b/>
          <w:bCs/>
        </w:rPr>
        <w:t>Výborná dopravní dostupnost</w:t>
      </w:r>
      <w:r>
        <w:t>. Vltavská je skvěle dostupná jak městskou i meziměstskou hromadnou dopravou (metrem, tramvajemi, vlaky) a osobními automobily (taxi, individuální doprava). Další úpravy dopravní obslužnosti jsou součástí komplexního urbanistického řešení</w:t>
      </w:r>
      <w:r w:rsidR="005C29FD">
        <w:t xml:space="preserve"> celé čtvrti</w:t>
      </w:r>
      <w:r>
        <w:t xml:space="preserve">. Počítá se mimo jiné se svedením silniční dopravy pod zem, aby mohlo před budovou filharmonie vzniknout příjemné náměstí se zelení a s promenádou podél řeky. Správa železnic připravuje otevření vlakového nádraží Praha Bubny a vltavská náplavka vybízí ke zřízení zastávky říční tramvaje. </w:t>
      </w:r>
    </w:p>
    <w:p w14:paraId="7DFFE071" w14:textId="77777777" w:rsidR="009A0785" w:rsidRPr="000A3B68" w:rsidRDefault="009A0785" w:rsidP="009A0785">
      <w:pPr>
        <w:pStyle w:val="Odstavecseseznamem"/>
      </w:pPr>
    </w:p>
    <w:p w14:paraId="5C524D3B" w14:textId="77777777" w:rsidR="009A0785" w:rsidRDefault="009A0785" w:rsidP="009A0785">
      <w:pPr>
        <w:pStyle w:val="Odstavecseseznamem"/>
        <w:numPr>
          <w:ilvl w:val="0"/>
          <w:numId w:val="3"/>
        </w:numPr>
      </w:pPr>
      <w:r w:rsidRPr="00860DCC">
        <w:rPr>
          <w:b/>
          <w:bCs/>
        </w:rPr>
        <w:t xml:space="preserve">Reprezentativní místo </w:t>
      </w:r>
      <w:r>
        <w:rPr>
          <w:b/>
          <w:bCs/>
        </w:rPr>
        <w:t>na břehu Vltavy</w:t>
      </w:r>
      <w:r>
        <w:t xml:space="preserve">. </w:t>
      </w:r>
      <w:r w:rsidRPr="00187083">
        <w:t xml:space="preserve">Stavební parcela </w:t>
      </w:r>
      <w:r>
        <w:t xml:space="preserve">se nachází pár kroků od řeky, podél které </w:t>
      </w:r>
      <w:r w:rsidRPr="00187083">
        <w:t xml:space="preserve">byly historicky umísťovány významné stavby (Národní divadlo, </w:t>
      </w:r>
      <w:r>
        <w:t xml:space="preserve">UMPRUM, </w:t>
      </w:r>
      <w:r w:rsidRPr="00187083">
        <w:t>Rudolfinum, Právnická fakulta</w:t>
      </w:r>
      <w:r>
        <w:t>, Anežský klášter</w:t>
      </w:r>
      <w:r w:rsidRPr="00187083">
        <w:t xml:space="preserve">). </w:t>
      </w:r>
      <w:r>
        <w:t xml:space="preserve">Ze střešní terasy a z nejvyšších pater ochozů budovy bude krásný výhled na Hrad a na pražské panorama.  </w:t>
      </w:r>
    </w:p>
    <w:p w14:paraId="5C69A5C7" w14:textId="77777777" w:rsidR="009A0785" w:rsidRDefault="009A0785" w:rsidP="009A0785">
      <w:pPr>
        <w:pStyle w:val="Odstavecseseznamem"/>
      </w:pPr>
    </w:p>
    <w:p w14:paraId="5C0998DC" w14:textId="77777777" w:rsidR="009A0785" w:rsidRDefault="009A0785" w:rsidP="009A0785">
      <w:pPr>
        <w:pStyle w:val="Odstavecseseznamem"/>
        <w:numPr>
          <w:ilvl w:val="0"/>
          <w:numId w:val="3"/>
        </w:numPr>
      </w:pPr>
      <w:r>
        <w:rPr>
          <w:b/>
          <w:bCs/>
        </w:rPr>
        <w:t>Transformace zanedbaného území v novou městskou čtvrť</w:t>
      </w:r>
      <w:r>
        <w:t xml:space="preserve">. Vltavská je dnes bohužel jen rušnou dopravní křižovatkou v širším centru Prahy. Nové urbanistické řešení a vybudování veškeré potřebné infrastruktury uvolní velký rozvojový potenciál této lokality a odstartuje proměnu obrovského brownfieldu Bubny-Zátory v novou pulsující městskou čtvrť.  </w:t>
      </w:r>
    </w:p>
    <w:p w14:paraId="4897F884" w14:textId="77777777" w:rsidR="004C5A75" w:rsidRDefault="004C5A75" w:rsidP="004C5A75">
      <w:pPr>
        <w:rPr>
          <w:b/>
          <w:bCs/>
        </w:rPr>
      </w:pPr>
    </w:p>
    <w:p w14:paraId="206D9DE0" w14:textId="77777777" w:rsidR="0080349D" w:rsidRDefault="0080349D">
      <w:pPr>
        <w:rPr>
          <w:b/>
          <w:bCs/>
        </w:rPr>
      </w:pPr>
      <w:r>
        <w:rPr>
          <w:b/>
          <w:bCs/>
        </w:rPr>
        <w:br w:type="page"/>
      </w:r>
    </w:p>
    <w:p w14:paraId="7300EB34" w14:textId="03AD0A37" w:rsidR="004C5A75" w:rsidRPr="00E02EBB" w:rsidRDefault="00F200B7" w:rsidP="004C5A75">
      <w:pPr>
        <w:rPr>
          <w:b/>
          <w:bCs/>
        </w:rPr>
      </w:pPr>
      <w:r>
        <w:rPr>
          <w:b/>
          <w:bCs/>
        </w:rPr>
        <w:lastRenderedPageBreak/>
        <w:t xml:space="preserve">Co Vltavská filharmonie na Vltavskou v roce 2033 přinese? </w:t>
      </w:r>
      <w:r w:rsidR="004C5A75">
        <w:rPr>
          <w:b/>
          <w:bCs/>
        </w:rPr>
        <w:t xml:space="preserve"> </w:t>
      </w:r>
    </w:p>
    <w:p w14:paraId="054C1F3B" w14:textId="77777777" w:rsidR="004C5A75" w:rsidRDefault="004C5A75" w:rsidP="004C5A75">
      <w:pPr>
        <w:pStyle w:val="Odstavecseseznamem"/>
        <w:numPr>
          <w:ilvl w:val="0"/>
          <w:numId w:val="4"/>
        </w:numPr>
      </w:pPr>
      <w:r>
        <w:t xml:space="preserve">Proměnu neprostupného území v udržitelný otevřený živý prostor </w:t>
      </w:r>
    </w:p>
    <w:p w14:paraId="5456DF4B" w14:textId="77777777" w:rsidR="004C5A75" w:rsidRDefault="004C5A75" w:rsidP="004C5A75">
      <w:pPr>
        <w:pStyle w:val="Odstavecseseznamem"/>
        <w:numPr>
          <w:ilvl w:val="0"/>
          <w:numId w:val="4"/>
        </w:numPr>
      </w:pPr>
      <w:r w:rsidRPr="003F3FA4">
        <w:t xml:space="preserve">Krásnou stavbu světové </w:t>
      </w:r>
      <w:r>
        <w:t xml:space="preserve">architektonické </w:t>
      </w:r>
      <w:r w:rsidRPr="003F3FA4">
        <w:t>úrovně</w:t>
      </w:r>
    </w:p>
    <w:p w14:paraId="23C11751" w14:textId="77777777" w:rsidR="004C5A75" w:rsidRDefault="004C5A75" w:rsidP="004C5A75">
      <w:pPr>
        <w:pStyle w:val="Odstavecseseznamem"/>
        <w:numPr>
          <w:ilvl w:val="0"/>
          <w:numId w:val="4"/>
        </w:numPr>
      </w:pPr>
      <w:r>
        <w:t xml:space="preserve">Kulturní centrum s celodenní pestrou programovou nabídkou </w:t>
      </w:r>
    </w:p>
    <w:p w14:paraId="41A83473" w14:textId="77777777" w:rsidR="004C5A75" w:rsidRPr="003F3FA4" w:rsidRDefault="004C5A75" w:rsidP="004C5A75">
      <w:pPr>
        <w:pStyle w:val="Odstavecseseznamem"/>
        <w:numPr>
          <w:ilvl w:val="0"/>
          <w:numId w:val="4"/>
        </w:numPr>
      </w:pPr>
      <w:r w:rsidRPr="003F3FA4">
        <w:t xml:space="preserve">Kultivovaný veřejný prostor s parkem a promenádou podél Vltavy </w:t>
      </w:r>
    </w:p>
    <w:p w14:paraId="6CF0F831" w14:textId="77777777" w:rsidR="004C5A75" w:rsidRPr="003F3FA4" w:rsidRDefault="004C5A75" w:rsidP="004C5A75">
      <w:pPr>
        <w:pStyle w:val="Odstavecseseznamem"/>
        <w:numPr>
          <w:ilvl w:val="0"/>
          <w:numId w:val="4"/>
        </w:numPr>
      </w:pPr>
      <w:r>
        <w:t xml:space="preserve">Modernizaci stanice </w:t>
      </w:r>
      <w:r w:rsidRPr="003F3FA4">
        <w:t xml:space="preserve">metra Vltavská (přímý výstup </w:t>
      </w:r>
      <w:r>
        <w:t>k filharmonii</w:t>
      </w:r>
      <w:r w:rsidRPr="003F3FA4">
        <w:t xml:space="preserve">) </w:t>
      </w:r>
    </w:p>
    <w:p w14:paraId="736E5686" w14:textId="495419D0" w:rsidR="004C5A75" w:rsidRDefault="004C5A75" w:rsidP="004C5A75">
      <w:pPr>
        <w:pStyle w:val="Odstavecseseznamem"/>
        <w:numPr>
          <w:ilvl w:val="0"/>
          <w:numId w:val="4"/>
        </w:numPr>
      </w:pPr>
      <w:r w:rsidRPr="003F3FA4">
        <w:t>Nové vlakové nádraží Praha – Bubny</w:t>
      </w:r>
      <w:r w:rsidR="007A4FC3">
        <w:t xml:space="preserve"> (SŽ již staví)</w:t>
      </w:r>
    </w:p>
    <w:p w14:paraId="6AFA5414" w14:textId="0E74BF24" w:rsidR="004C5A75" w:rsidRDefault="005F1BBE" w:rsidP="004C5A75">
      <w:pPr>
        <w:pStyle w:val="Odstavecseseznamem"/>
        <w:numPr>
          <w:ilvl w:val="0"/>
          <w:numId w:val="4"/>
        </w:numPr>
      </w:pPr>
      <w:r>
        <w:t>Překrytí severojižní magistrály a zpřístupnění řeky Vltavy.</w:t>
      </w:r>
    </w:p>
    <w:p w14:paraId="54CD993C" w14:textId="77BB3007" w:rsidR="001653A8" w:rsidRDefault="001653A8" w:rsidP="007A4FC3">
      <w:pPr>
        <w:pStyle w:val="Odstavecseseznamem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7DEC" w14:paraId="20DB4D27" w14:textId="77777777" w:rsidTr="00197FB1">
        <w:tc>
          <w:tcPr>
            <w:tcW w:w="4531" w:type="dxa"/>
          </w:tcPr>
          <w:p w14:paraId="447B21C8" w14:textId="307C01E3" w:rsidR="00197FB1" w:rsidRDefault="007A4FC3" w:rsidP="007A4FC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9D2539" wp14:editId="3C3C866F">
                  <wp:extent cx="1892899" cy="1062878"/>
                  <wp:effectExtent l="0" t="0" r="0" b="4445"/>
                  <wp:docPr id="165077684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270" cy="1079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42CBD5F1" w14:textId="69E4F7DE" w:rsidR="00197FB1" w:rsidRDefault="00197FB1" w:rsidP="007A4FC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05ED32" wp14:editId="4E696012">
                  <wp:extent cx="1897249" cy="1067202"/>
                  <wp:effectExtent l="0" t="0" r="8255" b="0"/>
                  <wp:docPr id="60335806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808212" name="Obrázek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249" cy="1067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DEC" w14:paraId="73391723" w14:textId="77777777" w:rsidTr="00197FB1">
        <w:tc>
          <w:tcPr>
            <w:tcW w:w="4531" w:type="dxa"/>
          </w:tcPr>
          <w:p w14:paraId="182B9967" w14:textId="44FC4009" w:rsidR="00197FB1" w:rsidRDefault="00242DF6" w:rsidP="007A4FC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A100DF" wp14:editId="6F764A0C">
                  <wp:extent cx="1942088" cy="1371600"/>
                  <wp:effectExtent l="0" t="0" r="1270" b="0"/>
                  <wp:docPr id="1376815430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258" cy="1376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5BA8BBCA" w14:textId="3D9FD5E0" w:rsidR="00197FB1" w:rsidRDefault="000D059A" w:rsidP="007A4FC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5A5294" wp14:editId="40C775D4">
                  <wp:extent cx="1911985" cy="1350339"/>
                  <wp:effectExtent l="0" t="0" r="0" b="2540"/>
                  <wp:docPr id="118070718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680" cy="1361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DEC" w14:paraId="16DE32CB" w14:textId="77777777" w:rsidTr="00197FB1">
        <w:tc>
          <w:tcPr>
            <w:tcW w:w="4531" w:type="dxa"/>
          </w:tcPr>
          <w:p w14:paraId="703982FD" w14:textId="33D5A784" w:rsidR="00197FB1" w:rsidRDefault="007A4FC3" w:rsidP="007A4FC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BFC226" wp14:editId="5A16EADA">
                  <wp:extent cx="1949450" cy="1379572"/>
                  <wp:effectExtent l="0" t="0" r="0" b="0"/>
                  <wp:docPr id="1851623854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196" cy="139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696305B0" w14:textId="6CB44F90" w:rsidR="00197FB1" w:rsidRDefault="007A4FC3" w:rsidP="007A4FC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40E32A" wp14:editId="279957BB">
                  <wp:extent cx="1932939" cy="1449705"/>
                  <wp:effectExtent l="0" t="0" r="0" b="0"/>
                  <wp:docPr id="1337662400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974" cy="1466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C87" w14:paraId="368D5AA5" w14:textId="77777777" w:rsidTr="00197FB1">
        <w:tc>
          <w:tcPr>
            <w:tcW w:w="4531" w:type="dxa"/>
          </w:tcPr>
          <w:p w14:paraId="5A46079F" w14:textId="58D1F2A0" w:rsidR="00B61C87" w:rsidRDefault="00B61C87" w:rsidP="007A4FC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955C6CF" wp14:editId="25944F2F">
                  <wp:extent cx="1979930" cy="1399811"/>
                  <wp:effectExtent l="0" t="0" r="1270" b="0"/>
                  <wp:docPr id="212539285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392850" name="Obrázek 212539285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295" cy="1409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4B9F3A53" w14:textId="1536AC26" w:rsidR="00B61C87" w:rsidRDefault="00B61C87" w:rsidP="007A4FC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D76E4CD" wp14:editId="680BBE66">
                  <wp:extent cx="1898650" cy="1342346"/>
                  <wp:effectExtent l="0" t="0" r="6350" b="0"/>
                  <wp:docPr id="93671544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715441" name="Obrázek 93671544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186" cy="1351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C87" w14:paraId="1B3BF2D7" w14:textId="77777777" w:rsidTr="00197FB1">
        <w:tc>
          <w:tcPr>
            <w:tcW w:w="4531" w:type="dxa"/>
          </w:tcPr>
          <w:p w14:paraId="55CAD3E9" w14:textId="2937164D" w:rsidR="00B61C87" w:rsidRDefault="00B61C87" w:rsidP="007A4FC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15F5AFE" wp14:editId="2382B2A2">
                  <wp:extent cx="2048094" cy="1448003"/>
                  <wp:effectExtent l="0" t="0" r="0" b="0"/>
                  <wp:docPr id="1895685407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685407" name="Obrázek 1895685407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428" cy="1462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6130766C" w14:textId="77777777" w:rsidR="00B61C87" w:rsidRDefault="00B61C87" w:rsidP="007A4FC3">
            <w:pPr>
              <w:jc w:val="center"/>
              <w:rPr>
                <w:noProof/>
              </w:rPr>
            </w:pPr>
          </w:p>
        </w:tc>
      </w:tr>
    </w:tbl>
    <w:p w14:paraId="60616C94" w14:textId="77777777" w:rsidR="0008181A" w:rsidRDefault="0008181A" w:rsidP="00210BB9"/>
    <w:p w14:paraId="7C2DC6D5" w14:textId="77777777" w:rsidR="007F2FDA" w:rsidRDefault="007F2FDA">
      <w:pPr>
        <w:rPr>
          <w:b/>
          <w:bCs/>
        </w:rPr>
      </w:pPr>
      <w:r>
        <w:rPr>
          <w:b/>
          <w:bCs/>
        </w:rPr>
        <w:br w:type="page"/>
      </w:r>
    </w:p>
    <w:p w14:paraId="2691A345" w14:textId="3B7E6D24" w:rsidR="001F0854" w:rsidRDefault="001F0854" w:rsidP="00210BB9">
      <w:pPr>
        <w:rPr>
          <w:b/>
          <w:bCs/>
        </w:rPr>
      </w:pPr>
      <w:r w:rsidRPr="001F0854">
        <w:rPr>
          <w:b/>
          <w:bCs/>
        </w:rPr>
        <w:lastRenderedPageBreak/>
        <w:t>Stavební program Vltavské filharmonie</w:t>
      </w:r>
    </w:p>
    <w:p w14:paraId="472FE425" w14:textId="67AC7AD5" w:rsidR="00FE346C" w:rsidRDefault="00F71B60" w:rsidP="00F35556">
      <w:pPr>
        <w:pStyle w:val="Odstavecseseznamem"/>
        <w:numPr>
          <w:ilvl w:val="0"/>
          <w:numId w:val="6"/>
        </w:numPr>
      </w:pPr>
      <w:r>
        <w:rPr>
          <w:b/>
          <w:bCs/>
        </w:rPr>
        <w:t>H</w:t>
      </w:r>
      <w:r w:rsidR="00F35556">
        <w:rPr>
          <w:b/>
          <w:bCs/>
        </w:rPr>
        <w:t>udební sály</w:t>
      </w:r>
      <w:r w:rsidR="00F35556">
        <w:t xml:space="preserve">. </w:t>
      </w:r>
      <w:r w:rsidR="00200812" w:rsidRPr="00200812">
        <w:t>Moderní koncertní síň se špičkovou akustikou pro 1800 posluchačů</w:t>
      </w:r>
      <w:r w:rsidR="00F35556">
        <w:t>, komorní sál</w:t>
      </w:r>
      <w:r>
        <w:t xml:space="preserve"> pro </w:t>
      </w:r>
      <w:r w:rsidR="00537190">
        <w:t xml:space="preserve">550 </w:t>
      </w:r>
      <w:r w:rsidRPr="00537190">
        <w:t>diváků</w:t>
      </w:r>
      <w:r>
        <w:t xml:space="preserve">, multifunkční sál pro </w:t>
      </w:r>
      <w:r w:rsidR="00F35556">
        <w:t>multižánrové hudební produkce</w:t>
      </w:r>
      <w:r>
        <w:t xml:space="preserve"> pro 500 posluchačů</w:t>
      </w:r>
      <w:r w:rsidR="007F2FDA">
        <w:t xml:space="preserve"> sedících a 1200 stojících</w:t>
      </w:r>
      <w:r>
        <w:t xml:space="preserve"> a eventový/konferenční prostor pro 200 diváků</w:t>
      </w:r>
      <w:r w:rsidR="00F35556">
        <w:t xml:space="preserve">.  </w:t>
      </w:r>
      <w:r w:rsidR="00FE346C">
        <w:br/>
      </w:r>
    </w:p>
    <w:p w14:paraId="23BE9D3F" w14:textId="5E5A3699" w:rsidR="00F35556" w:rsidRDefault="00FE346C" w:rsidP="00F35556">
      <w:pPr>
        <w:pStyle w:val="Odstavecseseznamem"/>
        <w:numPr>
          <w:ilvl w:val="0"/>
          <w:numId w:val="6"/>
        </w:numPr>
      </w:pPr>
      <w:r w:rsidRPr="00F35556">
        <w:rPr>
          <w:b/>
          <w:bCs/>
        </w:rPr>
        <w:t>Kreativní hub</w:t>
      </w:r>
      <w:r>
        <w:t>. H</w:t>
      </w:r>
      <w:r w:rsidRPr="00200812">
        <w:t xml:space="preserve">udební </w:t>
      </w:r>
      <w:r>
        <w:t xml:space="preserve">oddělení Městské knihovny v Praze, zkušebny a nahrávací studia, </w:t>
      </w:r>
      <w:r w:rsidR="00277059">
        <w:t xml:space="preserve">sál pro </w:t>
      </w:r>
      <w:r>
        <w:t xml:space="preserve">hudební edukační programy.   </w:t>
      </w:r>
      <w:r>
        <w:br/>
      </w:r>
    </w:p>
    <w:p w14:paraId="7B6F1F76" w14:textId="43E3E579" w:rsidR="00CF4DFE" w:rsidRDefault="00807BD3" w:rsidP="00F35556">
      <w:pPr>
        <w:pStyle w:val="Odstavecseseznamem"/>
        <w:numPr>
          <w:ilvl w:val="0"/>
          <w:numId w:val="6"/>
        </w:numPr>
      </w:pPr>
      <w:r>
        <w:rPr>
          <w:b/>
          <w:bCs/>
        </w:rPr>
        <w:t xml:space="preserve">Zázemí </w:t>
      </w:r>
      <w:r w:rsidR="00EF53E5">
        <w:rPr>
          <w:b/>
          <w:bCs/>
        </w:rPr>
        <w:t>pro umělce</w:t>
      </w:r>
      <w:r w:rsidR="00EF53E5">
        <w:t>. Z</w:t>
      </w:r>
      <w:r w:rsidR="001653A8">
        <w:t>ázemí</w:t>
      </w:r>
      <w:r w:rsidR="00EF53E5">
        <w:t xml:space="preserve"> pro oba rezidenční orchestry Českou filharmonii a Symfonický orchestr hl. m. Prahy FOK a pro hostující </w:t>
      </w:r>
      <w:r w:rsidR="001653A8">
        <w:t>tělesa</w:t>
      </w:r>
      <w:r w:rsidR="00EF53E5">
        <w:t xml:space="preserve">. </w:t>
      </w:r>
      <w:r w:rsidR="00FE346C">
        <w:br/>
      </w:r>
    </w:p>
    <w:p w14:paraId="75FF91AD" w14:textId="148F1E0F" w:rsidR="00F35556" w:rsidRDefault="00807BD3" w:rsidP="00FE346C">
      <w:pPr>
        <w:pStyle w:val="Odstavecseseznamem"/>
        <w:numPr>
          <w:ilvl w:val="0"/>
          <w:numId w:val="6"/>
        </w:numPr>
      </w:pPr>
      <w:r>
        <w:rPr>
          <w:b/>
          <w:bCs/>
        </w:rPr>
        <w:t>Z</w:t>
      </w:r>
      <w:r w:rsidR="00EF53E5">
        <w:rPr>
          <w:b/>
          <w:bCs/>
        </w:rPr>
        <w:t>ázemí pro návštěvníky</w:t>
      </w:r>
      <w:r w:rsidR="00EF53E5">
        <w:t xml:space="preserve">. </w:t>
      </w:r>
      <w:r w:rsidR="003758AB">
        <w:t>Vstupní foyer</w:t>
      </w:r>
      <w:r w:rsidR="001653A8">
        <w:t xml:space="preserve"> a foyery sálů </w:t>
      </w:r>
      <w:r w:rsidR="003758AB">
        <w:t>s</w:t>
      </w:r>
      <w:r w:rsidR="001653A8">
        <w:t> </w:t>
      </w:r>
      <w:r w:rsidR="003758AB">
        <w:t>kavárn</w:t>
      </w:r>
      <w:r w:rsidR="001653A8">
        <w:t>ami a občerstveními</w:t>
      </w:r>
      <w:r w:rsidR="007A4FC3">
        <w:t>,</w:t>
      </w:r>
      <w:r w:rsidR="003758AB">
        <w:t xml:space="preserve"> vyhlídkové</w:t>
      </w:r>
      <w:r w:rsidR="00D2174A">
        <w:t xml:space="preserve"> a pobytové</w:t>
      </w:r>
      <w:r w:rsidR="003758AB">
        <w:t xml:space="preserve"> terasy a </w:t>
      </w:r>
      <w:r w:rsidR="00F71B60">
        <w:t xml:space="preserve">dvě restaurace na </w:t>
      </w:r>
      <w:r w:rsidR="003758AB">
        <w:t xml:space="preserve">pobytové střeše </w:t>
      </w:r>
      <w:r>
        <w:t>budovy.</w:t>
      </w:r>
      <w:r w:rsidR="001653A8">
        <w:t xml:space="preserve"> </w:t>
      </w:r>
      <w:r>
        <w:t xml:space="preserve"> </w:t>
      </w:r>
      <w:r w:rsidR="003758AB">
        <w:t xml:space="preserve">  </w:t>
      </w:r>
      <w:r w:rsidR="00FE346C">
        <w:br/>
      </w:r>
    </w:p>
    <w:p w14:paraId="4E8203AC" w14:textId="6D86954C" w:rsidR="00807BD3" w:rsidRDefault="00807BD3" w:rsidP="004F73A0">
      <w:pPr>
        <w:pStyle w:val="Odstavecseseznamem"/>
        <w:numPr>
          <w:ilvl w:val="0"/>
          <w:numId w:val="6"/>
        </w:numPr>
      </w:pPr>
      <w:r w:rsidRPr="00526133">
        <w:rPr>
          <w:b/>
          <w:bCs/>
        </w:rPr>
        <w:t>Veřejný prostor</w:t>
      </w:r>
      <w:r>
        <w:t xml:space="preserve">. Součástí urbanistického řešení je kultivovaný veřejný prostor se zelení </w:t>
      </w:r>
      <w:r w:rsidR="008D2A35">
        <w:t>na střeše budovy i v jejím okolí</w:t>
      </w:r>
      <w:r w:rsidR="00D2174A">
        <w:t>.</w:t>
      </w:r>
      <w:r>
        <w:t xml:space="preserve"> </w:t>
      </w:r>
      <w:r w:rsidR="00D2174A">
        <w:t>V</w:t>
      </w:r>
      <w:r w:rsidR="008D2A35">
        <w:t xml:space="preserve"> prostoru mezi nábřežím a budovou bude </w:t>
      </w:r>
      <w:r w:rsidR="00606A6A">
        <w:t xml:space="preserve">silniční </w:t>
      </w:r>
      <w:r>
        <w:t>doprav</w:t>
      </w:r>
      <w:r w:rsidR="008D2A35">
        <w:t>a svedena</w:t>
      </w:r>
      <w:r>
        <w:t xml:space="preserve"> pod zem</w:t>
      </w:r>
      <w:r w:rsidR="00606A6A">
        <w:t>,</w:t>
      </w:r>
      <w:r>
        <w:t xml:space="preserve"> </w:t>
      </w:r>
      <w:r w:rsidR="008D2A35">
        <w:t xml:space="preserve">čímž vznikne </w:t>
      </w:r>
      <w:r>
        <w:t>přímý přístup k</w:t>
      </w:r>
      <w:r w:rsidR="00526133">
        <w:t xml:space="preserve"> budoucí </w:t>
      </w:r>
      <w:r>
        <w:t xml:space="preserve">promenádě podél Vltavy. </w:t>
      </w:r>
      <w:r w:rsidR="00602AA8">
        <w:br/>
      </w:r>
    </w:p>
    <w:p w14:paraId="7BFFCE8A" w14:textId="66EF0B98" w:rsidR="00200812" w:rsidRPr="00200812" w:rsidRDefault="00111E0B" w:rsidP="002D6AFB">
      <w:pPr>
        <w:jc w:val="both"/>
      </w:pPr>
      <w:r>
        <w:t xml:space="preserve">Vltavskou filharmonii tvoří několik vzájemně </w:t>
      </w:r>
      <w:r w:rsidR="00200812" w:rsidRPr="00200812">
        <w:t>komunikujících bloků, jejichž provozy se budou moci vzájemně doplňovat, spojovat</w:t>
      </w:r>
      <w:r>
        <w:t>,</w:t>
      </w:r>
      <w:r w:rsidR="00200812" w:rsidRPr="00200812">
        <w:t xml:space="preserve"> kombinovat</w:t>
      </w:r>
      <w:r>
        <w:t>,</w:t>
      </w:r>
      <w:r w:rsidR="00200812" w:rsidRPr="00200812">
        <w:t xml:space="preserve"> anebo </w:t>
      </w:r>
      <w:r w:rsidR="007E00AB">
        <w:t xml:space="preserve">budou </w:t>
      </w:r>
      <w:r w:rsidR="00200812" w:rsidRPr="00200812">
        <w:t xml:space="preserve">fungovat samostatně. </w:t>
      </w:r>
      <w:r>
        <w:t xml:space="preserve">Díky tomu se Vltavská filharmonie stane </w:t>
      </w:r>
      <w:r w:rsidR="00200812" w:rsidRPr="00C3524B">
        <w:rPr>
          <w:b/>
          <w:bCs/>
        </w:rPr>
        <w:t xml:space="preserve">živým </w:t>
      </w:r>
      <w:r w:rsidR="00C3524B">
        <w:rPr>
          <w:b/>
          <w:bCs/>
        </w:rPr>
        <w:t xml:space="preserve">kulturním a </w:t>
      </w:r>
      <w:r w:rsidR="007A4FC3">
        <w:rPr>
          <w:b/>
          <w:bCs/>
        </w:rPr>
        <w:t xml:space="preserve">hudebním </w:t>
      </w:r>
      <w:r w:rsidR="00200812" w:rsidRPr="00C3524B">
        <w:rPr>
          <w:b/>
          <w:bCs/>
        </w:rPr>
        <w:t>centrem</w:t>
      </w:r>
      <w:r w:rsidR="00200812" w:rsidRPr="00200812">
        <w:t xml:space="preserve"> po celý den</w:t>
      </w:r>
      <w:r>
        <w:t>,</w:t>
      </w:r>
      <w:r w:rsidR="00200812" w:rsidRPr="00200812">
        <w:t xml:space="preserve"> sedm dní v</w:t>
      </w:r>
      <w:r>
        <w:t> </w:t>
      </w:r>
      <w:r w:rsidR="00200812" w:rsidRPr="00200812">
        <w:t>týdnu</w:t>
      </w:r>
      <w:r>
        <w:t xml:space="preserve">, </w:t>
      </w:r>
      <w:r w:rsidR="007E00AB">
        <w:t xml:space="preserve">365 dní v roce. </w:t>
      </w:r>
    </w:p>
    <w:p w14:paraId="1FA36BFC" w14:textId="79A6AC8D" w:rsidR="00200812" w:rsidRPr="00200812" w:rsidRDefault="00200812" w:rsidP="002D6AFB">
      <w:pPr>
        <w:jc w:val="both"/>
      </w:pPr>
      <w:r w:rsidRPr="00200812">
        <w:t xml:space="preserve">Srdcem </w:t>
      </w:r>
      <w:r w:rsidR="00E40BE7">
        <w:t xml:space="preserve">filharmonie </w:t>
      </w:r>
      <w:r w:rsidR="00111E0B">
        <w:t xml:space="preserve">budou </w:t>
      </w:r>
      <w:r w:rsidR="00111E0B" w:rsidRPr="00C3524B">
        <w:rPr>
          <w:b/>
          <w:bCs/>
        </w:rPr>
        <w:t xml:space="preserve">hudební </w:t>
      </w:r>
      <w:r w:rsidRPr="00C3524B">
        <w:rPr>
          <w:b/>
          <w:bCs/>
        </w:rPr>
        <w:t>sály s</w:t>
      </w:r>
      <w:r w:rsidR="00111E0B" w:rsidRPr="00C3524B">
        <w:rPr>
          <w:b/>
          <w:bCs/>
        </w:rPr>
        <w:t>e zázemím pro umělce</w:t>
      </w:r>
      <w:r w:rsidR="00111E0B">
        <w:t xml:space="preserve"> </w:t>
      </w:r>
      <w:r w:rsidR="00111E0B" w:rsidRPr="00E40BE7">
        <w:rPr>
          <w:b/>
          <w:bCs/>
        </w:rPr>
        <w:t xml:space="preserve">a s prostory </w:t>
      </w:r>
      <w:r w:rsidR="00E40BE7" w:rsidRPr="00E40BE7">
        <w:rPr>
          <w:b/>
          <w:bCs/>
        </w:rPr>
        <w:t>p</w:t>
      </w:r>
      <w:r w:rsidR="00111E0B" w:rsidRPr="00E40BE7">
        <w:rPr>
          <w:b/>
          <w:bCs/>
        </w:rPr>
        <w:t>ro návštěvníky</w:t>
      </w:r>
      <w:r w:rsidR="00111E0B">
        <w:t xml:space="preserve">. Neméně </w:t>
      </w:r>
      <w:r w:rsidR="00E40BE7">
        <w:t xml:space="preserve">významný bude </w:t>
      </w:r>
      <w:r w:rsidR="00111E0B" w:rsidRPr="00C3524B">
        <w:rPr>
          <w:b/>
          <w:bCs/>
        </w:rPr>
        <w:t>kreativní hub</w:t>
      </w:r>
      <w:r w:rsidR="00111E0B">
        <w:t xml:space="preserve">, jehož centrem </w:t>
      </w:r>
      <w:r w:rsidRPr="00200812">
        <w:t>se stane hudební knihovna. Kreativní činnost</w:t>
      </w:r>
      <w:r w:rsidR="00111E0B">
        <w:t xml:space="preserve"> se bude </w:t>
      </w:r>
      <w:r w:rsidR="00E40BE7">
        <w:t xml:space="preserve">dále </w:t>
      </w:r>
      <w:r w:rsidR="00111E0B">
        <w:t xml:space="preserve">rozvíjet ve </w:t>
      </w:r>
      <w:r w:rsidRPr="00200812">
        <w:t xml:space="preserve">zkušebnách, studovnách </w:t>
      </w:r>
      <w:r w:rsidR="00111E0B">
        <w:t>a</w:t>
      </w:r>
      <w:r w:rsidRPr="00200812">
        <w:t xml:space="preserve"> edukačních prostor</w:t>
      </w:r>
      <w:r w:rsidR="00E40BE7">
        <w:t>ech</w:t>
      </w:r>
      <w:r w:rsidR="007A4FC3">
        <w:t xml:space="preserve"> využitelných pro všechny</w:t>
      </w:r>
      <w:r w:rsidR="00E40BE7">
        <w:t xml:space="preserve">. </w:t>
      </w:r>
    </w:p>
    <w:p w14:paraId="6FBF7DE6" w14:textId="539FCADE" w:rsidR="00DF3334" w:rsidRPr="00200812" w:rsidRDefault="009905D5" w:rsidP="002D6AFB">
      <w:pPr>
        <w:jc w:val="both"/>
      </w:pPr>
      <w:r>
        <w:t xml:space="preserve">Pro oba tyto bloky bude ve Vltavské filharmonii </w:t>
      </w:r>
      <w:r w:rsidR="00D21028">
        <w:t xml:space="preserve">vytvořeno </w:t>
      </w:r>
      <w:r>
        <w:t xml:space="preserve">kvalitní </w:t>
      </w:r>
      <w:r w:rsidRPr="00C3524B">
        <w:rPr>
          <w:b/>
          <w:bCs/>
        </w:rPr>
        <w:t>provozní</w:t>
      </w:r>
      <w:r w:rsidR="00D3439F">
        <w:rPr>
          <w:b/>
          <w:bCs/>
        </w:rPr>
        <w:t xml:space="preserve">, </w:t>
      </w:r>
      <w:r w:rsidR="00200812" w:rsidRPr="00C3524B">
        <w:rPr>
          <w:b/>
          <w:bCs/>
        </w:rPr>
        <w:t>technick</w:t>
      </w:r>
      <w:r w:rsidRPr="00C3524B">
        <w:rPr>
          <w:b/>
          <w:bCs/>
        </w:rPr>
        <w:t>é a technologické produkční zázemí</w:t>
      </w:r>
      <w:r>
        <w:t xml:space="preserve">. </w:t>
      </w:r>
    </w:p>
    <w:p w14:paraId="50B643AC" w14:textId="36842B75" w:rsidR="00200812" w:rsidRDefault="0053788B" w:rsidP="002D6AFB">
      <w:pPr>
        <w:jc w:val="both"/>
      </w:pPr>
      <w:r>
        <w:t xml:space="preserve">Ve Vltavské filharmonii budou </w:t>
      </w:r>
      <w:r w:rsidR="009703ED">
        <w:t xml:space="preserve">sídlit </w:t>
      </w:r>
      <w:r w:rsidRPr="00C3524B">
        <w:rPr>
          <w:b/>
          <w:bCs/>
        </w:rPr>
        <w:t xml:space="preserve">dva </w:t>
      </w:r>
      <w:r w:rsidR="00200812" w:rsidRPr="00C3524B">
        <w:rPr>
          <w:b/>
          <w:bCs/>
        </w:rPr>
        <w:t>nejvýznamnější české symfonické orchestry</w:t>
      </w:r>
      <w:r w:rsidR="00200812" w:rsidRPr="00200812">
        <w:t xml:space="preserve"> – Česká filharmonie a Symfonický orchestr hl.</w:t>
      </w:r>
      <w:r>
        <w:t xml:space="preserve"> </w:t>
      </w:r>
      <w:r w:rsidR="00200812" w:rsidRPr="00200812">
        <w:t xml:space="preserve">m. Prahy FOK. </w:t>
      </w:r>
      <w:r>
        <w:t xml:space="preserve">Kvalitní zázemí zde najdou také všichni hostující </w:t>
      </w:r>
      <w:r w:rsidR="009703ED">
        <w:t xml:space="preserve">účinkující a hudební formace. </w:t>
      </w:r>
      <w:r>
        <w:t xml:space="preserve"> </w:t>
      </w:r>
    </w:p>
    <w:p w14:paraId="6D6CC50E" w14:textId="719E63A2" w:rsidR="0053788B" w:rsidRPr="00200812" w:rsidRDefault="0053788B" w:rsidP="002D6AFB">
      <w:pPr>
        <w:jc w:val="both"/>
      </w:pPr>
      <w:r w:rsidRPr="00200812">
        <w:t xml:space="preserve">Provoz budovy Vltavské filharmonie si nelze představit bez </w:t>
      </w:r>
      <w:r w:rsidRPr="00F34400">
        <w:rPr>
          <w:b/>
          <w:bCs/>
        </w:rPr>
        <w:t xml:space="preserve">dostatečných </w:t>
      </w:r>
      <w:r w:rsidRPr="00C3524B">
        <w:rPr>
          <w:b/>
          <w:bCs/>
        </w:rPr>
        <w:t>kvalitních gastronomických služeb</w:t>
      </w:r>
      <w:r w:rsidRPr="00200812">
        <w:t xml:space="preserve">, které jednak </w:t>
      </w:r>
      <w:r>
        <w:t xml:space="preserve">nabídnou servis pro </w:t>
      </w:r>
      <w:r w:rsidRPr="00200812">
        <w:t xml:space="preserve">návštěvníky, </w:t>
      </w:r>
      <w:r w:rsidR="00F34400">
        <w:t xml:space="preserve">umělce </w:t>
      </w:r>
      <w:r>
        <w:t xml:space="preserve">a zaměstnance a stejně tak zajistí služby pro eventy a ad </w:t>
      </w:r>
      <w:r w:rsidRPr="00200812">
        <w:t>hoc akce</w:t>
      </w:r>
      <w:r>
        <w:t xml:space="preserve"> ve veřejném prostoru pře</w:t>
      </w:r>
      <w:r w:rsidR="00F34400">
        <w:t>d budovou</w:t>
      </w:r>
      <w:r>
        <w:t>. Restaura</w:t>
      </w:r>
      <w:r w:rsidR="00F34400">
        <w:t xml:space="preserve">ce </w:t>
      </w:r>
      <w:r>
        <w:t xml:space="preserve">na pobytové střešní terase </w:t>
      </w:r>
      <w:r w:rsidR="00F34400">
        <w:t xml:space="preserve">filharmonie </w:t>
      </w:r>
      <w:r>
        <w:t xml:space="preserve">nabídnou krásné výhledy na Hrad a pražské panorama.  </w:t>
      </w:r>
    </w:p>
    <w:p w14:paraId="28CF5EC5" w14:textId="01E61ED5" w:rsidR="00200812" w:rsidRPr="00200812" w:rsidRDefault="00200812" w:rsidP="002D6AFB">
      <w:pPr>
        <w:jc w:val="both"/>
      </w:pPr>
      <w:r w:rsidRPr="00200812">
        <w:t xml:space="preserve">Součástí stavebního programu </w:t>
      </w:r>
      <w:r w:rsidR="0053788B">
        <w:t xml:space="preserve">je i </w:t>
      </w:r>
      <w:r w:rsidRPr="00C3524B">
        <w:rPr>
          <w:b/>
          <w:bCs/>
        </w:rPr>
        <w:t>prohlídková trasa</w:t>
      </w:r>
      <w:r w:rsidRPr="00200812">
        <w:t>, která návštěvníky provede celým objektem a dovolí jim nahlédnout i do prostor, kam běžně přístup není</w:t>
      </w:r>
      <w:r w:rsidR="0053788B">
        <w:t xml:space="preserve">, například </w:t>
      </w:r>
      <w:r w:rsidRPr="00200812">
        <w:t xml:space="preserve">do zkušeben, </w:t>
      </w:r>
      <w:r w:rsidR="00D0053E">
        <w:t xml:space="preserve">nahrávacích </w:t>
      </w:r>
      <w:r w:rsidRPr="00200812">
        <w:t>studií</w:t>
      </w:r>
      <w:r w:rsidR="0053788B">
        <w:t xml:space="preserve"> a </w:t>
      </w:r>
      <w:r w:rsidRPr="00200812">
        <w:t>sálů v</w:t>
      </w:r>
      <w:r w:rsidR="00D0053E">
        <w:t> </w:t>
      </w:r>
      <w:r w:rsidRPr="00200812">
        <w:t>době</w:t>
      </w:r>
      <w:r w:rsidR="00D0053E">
        <w:t xml:space="preserve"> zkoušek </w:t>
      </w:r>
      <w:r w:rsidRPr="00200812">
        <w:t>na představení</w:t>
      </w:r>
      <w:r w:rsidR="0053788B">
        <w:t xml:space="preserve">. </w:t>
      </w:r>
    </w:p>
    <w:p w14:paraId="36736842" w14:textId="22D99394" w:rsidR="00200812" w:rsidRPr="00200812" w:rsidRDefault="00200812" w:rsidP="002D6AFB">
      <w:pPr>
        <w:jc w:val="both"/>
      </w:pPr>
      <w:r w:rsidRPr="00200812">
        <w:t>Vltavská filharmonie není jen budova samotná. Neodmyslitelnou součástí je i </w:t>
      </w:r>
      <w:r w:rsidRPr="00C3524B">
        <w:rPr>
          <w:b/>
          <w:bCs/>
        </w:rPr>
        <w:t xml:space="preserve">venkovní </w:t>
      </w:r>
      <w:r w:rsidR="0053788B" w:rsidRPr="00C3524B">
        <w:rPr>
          <w:b/>
          <w:bCs/>
        </w:rPr>
        <w:t xml:space="preserve">veřejný </w:t>
      </w:r>
      <w:r w:rsidRPr="00C3524B">
        <w:rPr>
          <w:b/>
          <w:bCs/>
        </w:rPr>
        <w:t>prostor</w:t>
      </w:r>
      <w:r w:rsidRPr="00200812">
        <w:t xml:space="preserve">, který </w:t>
      </w:r>
      <w:r w:rsidR="00FA1F65">
        <w:t xml:space="preserve">ji </w:t>
      </w:r>
      <w:r w:rsidRPr="00200812">
        <w:t>obklopuje a </w:t>
      </w:r>
      <w:r w:rsidR="0053788B">
        <w:t xml:space="preserve">který s ní tvoří </w:t>
      </w:r>
      <w:r w:rsidRPr="00200812">
        <w:t xml:space="preserve">jeden celek. </w:t>
      </w:r>
      <w:r w:rsidR="00FA1F65">
        <w:t xml:space="preserve">Bude to místo setkávání a budou se zde konat nejrůznější akce. </w:t>
      </w:r>
      <w:r w:rsidR="0053788B">
        <w:t xml:space="preserve">Urbanistické řešení veřejného prostoru propojí budovu filharmonie s promenádou podél řeky Vltavy. </w:t>
      </w:r>
    </w:p>
    <w:p w14:paraId="04738AC4" w14:textId="245DF195" w:rsidR="00200812" w:rsidRDefault="0078483C" w:rsidP="002D6AFB">
      <w:pPr>
        <w:jc w:val="both"/>
      </w:pPr>
      <w:r>
        <w:t xml:space="preserve">Pro </w:t>
      </w:r>
      <w:r w:rsidR="00FA1F65">
        <w:t xml:space="preserve">kulturní budovu tohoto typu a významu je také </w:t>
      </w:r>
      <w:r>
        <w:t xml:space="preserve">velmi důležitá </w:t>
      </w:r>
      <w:r w:rsidRPr="00C3524B">
        <w:rPr>
          <w:b/>
          <w:bCs/>
        </w:rPr>
        <w:t>dopravní dostupnost</w:t>
      </w:r>
      <w:r>
        <w:t xml:space="preserve">. </w:t>
      </w:r>
      <w:r w:rsidR="00200812" w:rsidRPr="00200812">
        <w:t xml:space="preserve">Součástí </w:t>
      </w:r>
      <w:r>
        <w:t xml:space="preserve">projektu je </w:t>
      </w:r>
      <w:r w:rsidR="00200812" w:rsidRPr="00200812">
        <w:t>podzemní parkoviště, místa pro zastavení</w:t>
      </w:r>
      <w:r>
        <w:t>,</w:t>
      </w:r>
      <w:r w:rsidR="00200812" w:rsidRPr="00200812">
        <w:t xml:space="preserve"> nástup a výstup cestujících ze zájezdních autobusů a taxi. </w:t>
      </w:r>
      <w:r>
        <w:t xml:space="preserve">Počítá se také s prostory pro </w:t>
      </w:r>
      <w:r w:rsidR="00200812" w:rsidRPr="00200812">
        <w:t>zásobování</w:t>
      </w:r>
      <w:r>
        <w:t xml:space="preserve">, dopravu účinkujících a jejich hudební techniky a pro stání </w:t>
      </w:r>
      <w:r w:rsidR="00200812" w:rsidRPr="00200812">
        <w:t>přenosových vozů.</w:t>
      </w:r>
      <w:r w:rsidR="00FA1F65">
        <w:t xml:space="preserve"> Stávající silniční a tramvajová doprava bude svedena pod zem. </w:t>
      </w:r>
    </w:p>
    <w:p w14:paraId="710E6CAB" w14:textId="5E2636C8" w:rsidR="00BA11FF" w:rsidRDefault="00BA11FF" w:rsidP="00210BB9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Projektový tým Vltavské filharmonie tvoří: </w:t>
      </w:r>
    </w:p>
    <w:p w14:paraId="08E25DBA" w14:textId="639C591F" w:rsidR="003E754F" w:rsidRDefault="00B405ED" w:rsidP="002D6AFB">
      <w:pPr>
        <w:jc w:val="both"/>
      </w:pPr>
      <w:r w:rsidRPr="005B0664">
        <w:rPr>
          <w:b/>
          <w:bCs/>
        </w:rPr>
        <w:t>Martin Krupauer</w:t>
      </w:r>
      <w:r w:rsidR="003E754F" w:rsidRPr="003E754F">
        <w:t xml:space="preserve"> (vedoucí projektového týmu), </w:t>
      </w:r>
      <w:r w:rsidR="003E754F" w:rsidRPr="005B0664">
        <w:rPr>
          <w:b/>
          <w:bCs/>
        </w:rPr>
        <w:t>Martin Gross</w:t>
      </w:r>
      <w:r w:rsidR="003E754F" w:rsidRPr="003E754F">
        <w:t xml:space="preserve"> (zástupce vedoucího a projektový manažer), </w:t>
      </w:r>
      <w:r w:rsidR="003E754F" w:rsidRPr="005B0664">
        <w:rPr>
          <w:b/>
          <w:bCs/>
        </w:rPr>
        <w:t>Monika Habrová</w:t>
      </w:r>
      <w:r w:rsidR="003E754F" w:rsidRPr="003E754F">
        <w:t xml:space="preserve"> (</w:t>
      </w:r>
      <w:r w:rsidR="007A4FC3">
        <w:t xml:space="preserve">zástupkyně vedoucího a </w:t>
      </w:r>
      <w:r w:rsidR="003E754F" w:rsidRPr="003E754F">
        <w:t xml:space="preserve">projektová manažerka), </w:t>
      </w:r>
      <w:r w:rsidR="003E754F" w:rsidRPr="005B0664">
        <w:rPr>
          <w:b/>
          <w:bCs/>
        </w:rPr>
        <w:t>Petra Hrubešová</w:t>
      </w:r>
      <w:r w:rsidR="003E754F" w:rsidRPr="003E754F">
        <w:t xml:space="preserve"> (projektová manažerka), </w:t>
      </w:r>
      <w:r w:rsidR="003E754F" w:rsidRPr="005B0664">
        <w:rPr>
          <w:b/>
          <w:bCs/>
        </w:rPr>
        <w:t>Luboš Hapal</w:t>
      </w:r>
      <w:r w:rsidR="003E754F" w:rsidRPr="003E754F">
        <w:t xml:space="preserve"> (</w:t>
      </w:r>
      <w:r w:rsidR="003E754F">
        <w:t>manažer koordinace projektů a externalit)</w:t>
      </w:r>
      <w:r w:rsidR="007A4FC3">
        <w:t xml:space="preserve"> </w:t>
      </w:r>
      <w:r w:rsidR="003E754F">
        <w:t xml:space="preserve">a </w:t>
      </w:r>
      <w:r w:rsidR="003E754F" w:rsidRPr="005B0664">
        <w:rPr>
          <w:b/>
          <w:bCs/>
        </w:rPr>
        <w:t>Martina Treščáková</w:t>
      </w:r>
      <w:r w:rsidR="003E754F">
        <w:t xml:space="preserve"> (tajemnice projektového týmu</w:t>
      </w:r>
      <w:r w:rsidR="007A4FC3">
        <w:t>)</w:t>
      </w:r>
      <w:r w:rsidR="003E754F">
        <w:t xml:space="preserve">. </w:t>
      </w:r>
    </w:p>
    <w:p w14:paraId="70AB2BEE" w14:textId="0723585B" w:rsidR="003E754F" w:rsidRDefault="003E754F" w:rsidP="006050D4">
      <w:pPr>
        <w:jc w:val="both"/>
      </w:pPr>
      <w:r w:rsidRPr="003E754F">
        <w:t xml:space="preserve">Projektový tým Vltavské filharmonie je součástí Pražské developerské společnosti, pod níž funguje jako samostatné oddělení. </w:t>
      </w:r>
    </w:p>
    <w:p w14:paraId="37B8A93C" w14:textId="77777777" w:rsidR="003E754F" w:rsidRPr="003E754F" w:rsidRDefault="003E754F" w:rsidP="00210BB9"/>
    <w:p w14:paraId="2EA747F0" w14:textId="3B20B421" w:rsidR="00892695" w:rsidRPr="0051231E" w:rsidRDefault="00892695" w:rsidP="00210BB9">
      <w:pPr>
        <w:rPr>
          <w:b/>
          <w:bCs/>
          <w:u w:val="single"/>
        </w:rPr>
      </w:pPr>
      <w:r w:rsidRPr="0051231E">
        <w:rPr>
          <w:b/>
          <w:bCs/>
          <w:u w:val="single"/>
        </w:rPr>
        <w:t xml:space="preserve">Hlavní </w:t>
      </w:r>
      <w:r w:rsidR="00B0241C">
        <w:rPr>
          <w:b/>
          <w:bCs/>
          <w:u w:val="single"/>
        </w:rPr>
        <w:t xml:space="preserve">partneři, kteří na projektu Vltavské filharmonie spolupracují: </w:t>
      </w:r>
      <w:r w:rsidRPr="0051231E">
        <w:rPr>
          <w:b/>
          <w:bCs/>
          <w:u w:val="single"/>
        </w:rPr>
        <w:t xml:space="preserve"> </w:t>
      </w:r>
    </w:p>
    <w:p w14:paraId="049D96EA" w14:textId="3D2E4092" w:rsidR="00C03FFD" w:rsidRDefault="00C03FFD" w:rsidP="00210BB9">
      <w:bookmarkStart w:id="0" w:name="_Hlk173415106"/>
      <w:r>
        <w:rPr>
          <w:b/>
          <w:bCs/>
        </w:rPr>
        <w:t>Architektonický návrh</w:t>
      </w:r>
      <w:r w:rsidR="00851F8B">
        <w:rPr>
          <w:b/>
          <w:bCs/>
        </w:rPr>
        <w:t xml:space="preserve">, </w:t>
      </w:r>
      <w:r w:rsidR="00BE0BDA">
        <w:rPr>
          <w:b/>
          <w:bCs/>
        </w:rPr>
        <w:t>g</w:t>
      </w:r>
      <w:r w:rsidR="00851F8B" w:rsidRPr="00C03FFD">
        <w:rPr>
          <w:b/>
          <w:bCs/>
        </w:rPr>
        <w:t>enerální projektant</w:t>
      </w:r>
      <w:r>
        <w:rPr>
          <w:b/>
          <w:bCs/>
        </w:rPr>
        <w:br/>
      </w:r>
      <w:hyperlink r:id="rId16" w:history="1">
        <w:r w:rsidRPr="00F90DE8">
          <w:rPr>
            <w:rStyle w:val="Hypertextovodkaz"/>
          </w:rPr>
          <w:t>Bjarke Ingels Group</w:t>
        </w:r>
      </w:hyperlink>
      <w:r w:rsidRPr="00C03FFD">
        <w:t xml:space="preserve"> (Dánsko) </w:t>
      </w:r>
    </w:p>
    <w:p w14:paraId="77876A46" w14:textId="3E1128D5" w:rsidR="00851F8B" w:rsidRPr="00C13466" w:rsidRDefault="00851F8B" w:rsidP="00FE429C">
      <w:r>
        <w:rPr>
          <w:b/>
          <w:bCs/>
        </w:rPr>
        <w:t>Lokální architekt</w:t>
      </w:r>
      <w:r w:rsidRPr="00C03FFD" w:rsidDel="00851F8B">
        <w:rPr>
          <w:b/>
          <w:bCs/>
        </w:rPr>
        <w:t xml:space="preserve"> </w:t>
      </w:r>
      <w:r w:rsidR="00C03FFD" w:rsidRPr="00C03FFD">
        <w:rPr>
          <w:b/>
          <w:bCs/>
        </w:rPr>
        <w:br/>
      </w:r>
      <w:hyperlink r:id="rId17" w:history="1">
        <w:r w:rsidR="00C03FFD" w:rsidRPr="00160355">
          <w:rPr>
            <w:rStyle w:val="Hypertextovodkaz"/>
          </w:rPr>
          <w:t>Afry</w:t>
        </w:r>
      </w:hyperlink>
      <w:r w:rsidR="00C03FFD">
        <w:t xml:space="preserve"> </w:t>
      </w:r>
      <w:r w:rsidR="005B0257">
        <w:t>(</w:t>
      </w:r>
      <w:r w:rsidR="00C03FFD">
        <w:t>Česká republika</w:t>
      </w:r>
      <w:r w:rsidR="005B0257">
        <w:t>)</w:t>
      </w:r>
      <w:r w:rsidR="00C03FFD" w:rsidRPr="00C03FFD">
        <w:t xml:space="preserve"> </w:t>
      </w:r>
    </w:p>
    <w:p w14:paraId="164A480C" w14:textId="40A1FD8F" w:rsidR="00FE429C" w:rsidRDefault="00FE429C" w:rsidP="009C2302">
      <w:pPr>
        <w:rPr>
          <w:rFonts w:cstheme="minorHAnsi"/>
          <w:b/>
          <w:bCs/>
          <w:color w:val="000000"/>
        </w:rPr>
      </w:pPr>
      <w:r w:rsidRPr="00C03FFD">
        <w:rPr>
          <w:b/>
          <w:bCs/>
        </w:rPr>
        <w:t>Projektový management</w:t>
      </w:r>
      <w:r w:rsidR="001653A8">
        <w:rPr>
          <w:b/>
          <w:bCs/>
        </w:rPr>
        <w:t xml:space="preserve"> (správce stavby)</w:t>
      </w:r>
      <w:r w:rsidRPr="00C03FFD">
        <w:br/>
      </w:r>
      <w:r>
        <w:t xml:space="preserve">Sdružení firem </w:t>
      </w:r>
      <w:r>
        <w:rPr>
          <w:rFonts w:cstheme="minorHAnsi"/>
          <w:color w:val="000000"/>
        </w:rPr>
        <w:t>Delta Projektconsult + JE Group + Fetters management</w:t>
      </w:r>
    </w:p>
    <w:p w14:paraId="213661E8" w14:textId="75FE2A5B" w:rsidR="000A5FC4" w:rsidRDefault="009C2302" w:rsidP="009C2302">
      <w:pPr>
        <w:rPr>
          <w:rFonts w:cstheme="minorHAnsi"/>
          <w:color w:val="000000"/>
        </w:rPr>
      </w:pPr>
      <w:r w:rsidRPr="00F0353A">
        <w:rPr>
          <w:rFonts w:cstheme="minorHAnsi"/>
          <w:b/>
          <w:bCs/>
          <w:color w:val="000000"/>
        </w:rPr>
        <w:t>Akustika</w:t>
      </w:r>
      <w:r w:rsidRPr="00F0353A">
        <w:rPr>
          <w:rFonts w:cstheme="minorHAnsi"/>
          <w:b/>
          <w:bCs/>
          <w:color w:val="000000"/>
        </w:rPr>
        <w:br/>
      </w:r>
      <w:hyperlink r:id="rId18" w:history="1">
        <w:r w:rsidRPr="00160355">
          <w:rPr>
            <w:rStyle w:val="Hypertextovodkaz"/>
            <w:rFonts w:cstheme="minorHAnsi"/>
          </w:rPr>
          <w:t>Nagata Acoustics</w:t>
        </w:r>
      </w:hyperlink>
      <w:r w:rsidR="005B0257">
        <w:rPr>
          <w:rFonts w:cstheme="minorHAnsi"/>
          <w:color w:val="000000"/>
        </w:rPr>
        <w:t xml:space="preserve"> (Japonsko)</w:t>
      </w:r>
      <w:r w:rsidR="00C27A9D">
        <w:rPr>
          <w:rFonts w:cstheme="minorHAnsi"/>
          <w:color w:val="000000"/>
        </w:rPr>
        <w:br/>
        <w:t xml:space="preserve">Aveton (Česká republika) </w:t>
      </w:r>
      <w:r w:rsidR="000A5FC4">
        <w:rPr>
          <w:rFonts w:cstheme="minorHAnsi"/>
          <w:color w:val="000000"/>
        </w:rPr>
        <w:br/>
        <w:t>Ekola (Česká republika)</w:t>
      </w:r>
    </w:p>
    <w:p w14:paraId="13AA0342" w14:textId="5CCCA376" w:rsidR="00FE429C" w:rsidRDefault="00FE429C" w:rsidP="009C2302">
      <w:pPr>
        <w:rPr>
          <w:rFonts w:cstheme="minorHAnsi"/>
          <w:color w:val="000000"/>
        </w:rPr>
      </w:pPr>
      <w:r w:rsidRPr="00FE429C">
        <w:rPr>
          <w:rFonts w:cstheme="minorHAnsi"/>
          <w:b/>
          <w:bCs/>
          <w:color w:val="000000"/>
        </w:rPr>
        <w:t>Osvětlení</w:t>
      </w:r>
      <w:r>
        <w:rPr>
          <w:rFonts w:cstheme="minorHAnsi"/>
          <w:b/>
          <w:bCs/>
          <w:color w:val="000000"/>
        </w:rPr>
        <w:br/>
      </w:r>
      <w:r>
        <w:rPr>
          <w:rFonts w:cstheme="minorHAnsi"/>
          <w:color w:val="000000"/>
        </w:rPr>
        <w:t>Speirs Major</w:t>
      </w:r>
      <w:r w:rsidR="000A5FC4">
        <w:rPr>
          <w:rFonts w:cstheme="minorHAnsi"/>
          <w:color w:val="000000"/>
        </w:rPr>
        <w:t xml:space="preserve"> (Velká Británie)</w:t>
      </w:r>
    </w:p>
    <w:p w14:paraId="29F28E0C" w14:textId="6D996C29" w:rsidR="000A5FC4" w:rsidRPr="00C13466" w:rsidRDefault="000A5FC4" w:rsidP="009C2302">
      <w:pP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Divadelní technika</w:t>
      </w:r>
      <w:r w:rsidR="00851F8B">
        <w:rPr>
          <w:rFonts w:cstheme="minorHAnsi"/>
          <w:b/>
          <w:bCs/>
          <w:color w:val="000000"/>
        </w:rPr>
        <w:br/>
      </w:r>
      <w:r w:rsidR="00851F8B">
        <w:rPr>
          <w:rFonts w:cstheme="minorHAnsi"/>
          <w:color w:val="000000"/>
        </w:rPr>
        <w:t>Theatre Projects (Velká Británie)</w:t>
      </w:r>
      <w:r>
        <w:rPr>
          <w:rFonts w:cstheme="minorHAnsi"/>
          <w:b/>
          <w:bCs/>
          <w:color w:val="000000"/>
        </w:rPr>
        <w:br/>
      </w:r>
      <w:r w:rsidRPr="003C5953">
        <w:rPr>
          <w:rFonts w:cstheme="minorHAnsi"/>
          <w:color w:val="000000"/>
        </w:rPr>
        <w:t>Gradiortech (Česká republika)</w:t>
      </w:r>
    </w:p>
    <w:p w14:paraId="4026B588" w14:textId="621064A9" w:rsidR="00FE429C" w:rsidRPr="003C5953" w:rsidRDefault="00FE429C" w:rsidP="009C2302">
      <w:pPr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Fasádové inženýrství </w:t>
      </w:r>
      <w:r>
        <w:rPr>
          <w:rFonts w:cstheme="minorHAnsi"/>
          <w:b/>
          <w:bCs/>
          <w:color w:val="000000"/>
        </w:rPr>
        <w:br/>
      </w:r>
      <w:r w:rsidRPr="003C5953">
        <w:rPr>
          <w:rFonts w:cstheme="minorHAnsi"/>
          <w:color w:val="000000"/>
        </w:rPr>
        <w:t>Front</w:t>
      </w:r>
      <w:r w:rsidR="000A5FC4">
        <w:rPr>
          <w:rFonts w:cstheme="minorHAnsi"/>
          <w:color w:val="000000"/>
        </w:rPr>
        <w:t xml:space="preserve"> (USA + Kanada)</w:t>
      </w:r>
      <w:r w:rsidRPr="003C5953">
        <w:rPr>
          <w:rFonts w:cstheme="minorHAnsi"/>
          <w:color w:val="000000"/>
        </w:rPr>
        <w:t xml:space="preserve"> </w:t>
      </w:r>
    </w:p>
    <w:p w14:paraId="3CA1E993" w14:textId="2B605BF8" w:rsidR="00FE429C" w:rsidRPr="003C5953" w:rsidRDefault="00FE429C" w:rsidP="009C2302">
      <w:pPr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Konstrukce</w:t>
      </w:r>
      <w:r w:rsidR="000A5FC4">
        <w:rPr>
          <w:rFonts w:cstheme="minorHAnsi"/>
          <w:b/>
          <w:bCs/>
          <w:color w:val="000000"/>
        </w:rPr>
        <w:t xml:space="preserve"> a statika</w:t>
      </w:r>
      <w:r w:rsidR="00851F8B">
        <w:rPr>
          <w:rFonts w:cstheme="minorHAnsi"/>
          <w:b/>
          <w:bCs/>
          <w:color w:val="000000"/>
        </w:rPr>
        <w:br/>
      </w:r>
      <w:r w:rsidR="00851F8B">
        <w:rPr>
          <w:rFonts w:cstheme="minorHAnsi"/>
          <w:color w:val="000000"/>
        </w:rPr>
        <w:t>Buro Happold (Velká Británie)</w:t>
      </w:r>
      <w:r w:rsidR="000A5FC4"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b/>
          <w:bCs/>
          <w:color w:val="000000"/>
        </w:rPr>
        <w:br/>
      </w:r>
      <w:r w:rsidRPr="003C5953">
        <w:rPr>
          <w:rFonts w:cstheme="minorHAnsi"/>
          <w:color w:val="000000"/>
        </w:rPr>
        <w:t>Němec Polák</w:t>
      </w:r>
      <w:r w:rsidR="000A5FC4">
        <w:rPr>
          <w:rFonts w:cstheme="minorHAnsi"/>
          <w:color w:val="000000"/>
        </w:rPr>
        <w:t xml:space="preserve"> (Česká republika)</w:t>
      </w:r>
    </w:p>
    <w:p w14:paraId="041638CF" w14:textId="0FE27C9A" w:rsidR="000A5FC4" w:rsidRPr="003C5953" w:rsidRDefault="000A5FC4" w:rsidP="009C2302">
      <w:pPr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Udržitelnost + cost management</w:t>
      </w:r>
      <w:r>
        <w:rPr>
          <w:rFonts w:cstheme="minorHAnsi"/>
          <w:b/>
          <w:bCs/>
          <w:color w:val="000000"/>
        </w:rPr>
        <w:br/>
      </w:r>
      <w:r w:rsidRPr="003C5953">
        <w:rPr>
          <w:rFonts w:cstheme="minorHAnsi"/>
          <w:color w:val="000000"/>
        </w:rPr>
        <w:t>Grinity</w:t>
      </w:r>
      <w:r>
        <w:rPr>
          <w:rFonts w:cstheme="minorHAnsi"/>
          <w:color w:val="000000"/>
        </w:rPr>
        <w:t xml:space="preserve"> (Česká republika)</w:t>
      </w:r>
    </w:p>
    <w:p w14:paraId="7C2746B7" w14:textId="47AB6DDC" w:rsidR="000A5FC4" w:rsidRDefault="00851F8B" w:rsidP="009C2302">
      <w:pPr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Krajinářská </w:t>
      </w:r>
      <w:r w:rsidR="000A5FC4">
        <w:rPr>
          <w:rFonts w:cstheme="minorHAnsi"/>
          <w:b/>
          <w:bCs/>
          <w:color w:val="000000"/>
        </w:rPr>
        <w:t>architektura</w:t>
      </w:r>
      <w:r>
        <w:rPr>
          <w:rFonts w:cstheme="minorHAnsi"/>
          <w:b/>
          <w:bCs/>
          <w:color w:val="000000"/>
        </w:rPr>
        <w:br/>
      </w:r>
      <w:hyperlink r:id="rId19" w:history="1">
        <w:r w:rsidRPr="00F90DE8">
          <w:rPr>
            <w:rStyle w:val="Hypertextovodkaz"/>
          </w:rPr>
          <w:t>Bjarke Ingels Group</w:t>
        </w:r>
      </w:hyperlink>
      <w:r w:rsidRPr="00C03FFD">
        <w:t xml:space="preserve"> (Dánsko)</w:t>
      </w:r>
      <w:r w:rsidR="000A5FC4">
        <w:rPr>
          <w:rFonts w:cstheme="minorHAnsi"/>
          <w:b/>
          <w:bCs/>
          <w:color w:val="000000"/>
        </w:rPr>
        <w:br/>
      </w:r>
      <w:r w:rsidR="000A5FC4" w:rsidRPr="003C5953">
        <w:rPr>
          <w:rFonts w:cstheme="minorHAnsi"/>
          <w:color w:val="000000"/>
        </w:rPr>
        <w:t>Zdeněk Sendler</w:t>
      </w:r>
      <w:r w:rsidR="000A5FC4">
        <w:rPr>
          <w:rFonts w:cstheme="minorHAnsi"/>
          <w:color w:val="000000"/>
        </w:rPr>
        <w:t xml:space="preserve"> (Česká republika)</w:t>
      </w:r>
      <w:r w:rsidR="000A5FC4" w:rsidRPr="003C5953">
        <w:rPr>
          <w:rFonts w:cstheme="minorHAnsi"/>
          <w:color w:val="000000"/>
        </w:rPr>
        <w:t xml:space="preserve"> </w:t>
      </w:r>
      <w:bookmarkEnd w:id="0"/>
    </w:p>
    <w:p w14:paraId="7639F5C4" w14:textId="0D398CA1" w:rsidR="00851F8B" w:rsidRDefault="00851F8B" w:rsidP="00851F8B">
      <w:pPr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D</w:t>
      </w:r>
      <w:r w:rsidRPr="00C13466">
        <w:rPr>
          <w:rFonts w:cstheme="minorHAnsi"/>
          <w:b/>
          <w:bCs/>
          <w:color w:val="000000"/>
        </w:rPr>
        <w:t>opravní stav</w:t>
      </w:r>
      <w:r>
        <w:rPr>
          <w:rFonts w:cstheme="minorHAnsi"/>
          <w:b/>
          <w:bCs/>
          <w:color w:val="000000"/>
        </w:rPr>
        <w:t>by</w:t>
      </w:r>
      <w:r w:rsidRPr="00851F8B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br/>
      </w:r>
      <w:r w:rsidRPr="00851F8B">
        <w:rPr>
          <w:rFonts w:cstheme="minorHAnsi"/>
          <w:color w:val="000000"/>
        </w:rPr>
        <w:t>Systematica</w:t>
      </w:r>
      <w:r>
        <w:rPr>
          <w:rFonts w:cstheme="minorHAnsi"/>
          <w:color w:val="000000"/>
        </w:rPr>
        <w:t xml:space="preserve"> (Itálie)</w:t>
      </w:r>
      <w:r>
        <w:rPr>
          <w:rFonts w:cstheme="minorHAnsi"/>
          <w:color w:val="000000"/>
        </w:rPr>
        <w:br/>
      </w:r>
      <w:r w:rsidRPr="00851F8B">
        <w:rPr>
          <w:rFonts w:cstheme="minorHAnsi"/>
          <w:color w:val="000000"/>
        </w:rPr>
        <w:t>Ateliér DUA, s.r.o. (Česká republika)</w:t>
      </w:r>
    </w:p>
    <w:p w14:paraId="111353D7" w14:textId="7EC6E0AA" w:rsidR="00D2708D" w:rsidRPr="0008181A" w:rsidRDefault="00D2708D">
      <w:pPr>
        <w:rPr>
          <w:b/>
          <w:bCs/>
          <w:color w:val="007BB8"/>
        </w:rPr>
      </w:pPr>
    </w:p>
    <w:sectPr w:rsidR="00D2708D" w:rsidRPr="0008181A" w:rsidSect="001E759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116CB" w14:textId="77777777" w:rsidR="00941DAE" w:rsidRDefault="00941DAE" w:rsidP="00C50ADD">
      <w:pPr>
        <w:spacing w:after="0" w:line="240" w:lineRule="auto"/>
      </w:pPr>
      <w:r>
        <w:separator/>
      </w:r>
    </w:p>
  </w:endnote>
  <w:endnote w:type="continuationSeparator" w:id="0">
    <w:p w14:paraId="5C8BD4C4" w14:textId="77777777" w:rsidR="00941DAE" w:rsidRDefault="00941DAE" w:rsidP="00C5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1C48B" w14:textId="77777777" w:rsidR="0051408A" w:rsidRDefault="005140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BF6CA" w14:textId="2F1F7813" w:rsidR="00C50ADD" w:rsidRPr="0080349D" w:rsidRDefault="00C50ADD">
    <w:pPr>
      <w:pStyle w:val="Zpat"/>
      <w:rPr>
        <w:i/>
        <w:iCs/>
        <w:sz w:val="20"/>
        <w:szCs w:val="20"/>
      </w:rPr>
    </w:pPr>
    <w:r w:rsidRPr="0080349D">
      <w:rPr>
        <w:b/>
        <w:bCs/>
        <w:i/>
        <w:iCs/>
        <w:sz w:val="20"/>
        <w:szCs w:val="20"/>
      </w:rPr>
      <w:t>Vltavská filharmonie</w:t>
    </w:r>
    <w:r w:rsidRPr="0080349D">
      <w:rPr>
        <w:i/>
        <w:iCs/>
        <w:sz w:val="20"/>
        <w:szCs w:val="20"/>
      </w:rPr>
      <w:t>, tiskové materiály, září 2024</w:t>
    </w:r>
  </w:p>
  <w:p w14:paraId="50C0D48E" w14:textId="209F4674" w:rsidR="00C50ADD" w:rsidRPr="0080349D" w:rsidRDefault="00C50ADD">
    <w:pPr>
      <w:pStyle w:val="Zpat"/>
      <w:rPr>
        <w:i/>
        <w:iCs/>
        <w:sz w:val="20"/>
        <w:szCs w:val="20"/>
      </w:rPr>
    </w:pPr>
    <w:r w:rsidRPr="0080349D">
      <w:rPr>
        <w:b/>
        <w:bCs/>
        <w:i/>
        <w:iCs/>
        <w:sz w:val="20"/>
        <w:szCs w:val="20"/>
      </w:rPr>
      <w:t>Kontakt</w:t>
    </w:r>
    <w:r w:rsidRPr="0080349D">
      <w:rPr>
        <w:i/>
        <w:iCs/>
        <w:sz w:val="20"/>
        <w:szCs w:val="20"/>
      </w:rPr>
      <w:t xml:space="preserve">: Markéta Miková, tel: 739 057 684, e-mail: </w:t>
    </w:r>
    <w:hyperlink r:id="rId1" w:history="1">
      <w:r w:rsidRPr="0080349D">
        <w:rPr>
          <w:rStyle w:val="Hypertextovodkaz"/>
          <w:i/>
          <w:iCs/>
          <w:sz w:val="20"/>
          <w:szCs w:val="20"/>
        </w:rPr>
        <w:t>marketa@marketamikova.cz</w:t>
      </w:r>
    </w:hyperlink>
    <w:r w:rsidRPr="0080349D">
      <w:rPr>
        <w:i/>
        <w:iCs/>
        <w:sz w:val="20"/>
        <w:szCs w:val="20"/>
      </w:rPr>
      <w:t xml:space="preserve"> </w:t>
    </w:r>
  </w:p>
  <w:p w14:paraId="6BB04F9A" w14:textId="77777777" w:rsidR="00C50ADD" w:rsidRPr="0080349D" w:rsidRDefault="00C50ADD">
    <w:pPr>
      <w:pStyle w:val="Zpat"/>
      <w:rPr>
        <w:i/>
        <w:i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E0ED5" w14:textId="77777777" w:rsidR="0051408A" w:rsidRDefault="005140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9DFFC" w14:textId="77777777" w:rsidR="00941DAE" w:rsidRDefault="00941DAE" w:rsidP="00C50ADD">
      <w:pPr>
        <w:spacing w:after="0" w:line="240" w:lineRule="auto"/>
      </w:pPr>
      <w:r>
        <w:separator/>
      </w:r>
    </w:p>
  </w:footnote>
  <w:footnote w:type="continuationSeparator" w:id="0">
    <w:p w14:paraId="6B3ADB4B" w14:textId="77777777" w:rsidR="00941DAE" w:rsidRDefault="00941DAE" w:rsidP="00C50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6FE63" w14:textId="77777777" w:rsidR="0051408A" w:rsidRDefault="005140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2B05B" w14:textId="77777777" w:rsidR="0051408A" w:rsidRDefault="005140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17CF5" w14:textId="77777777" w:rsidR="0051408A" w:rsidRDefault="005140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67F08"/>
    <w:multiLevelType w:val="hybridMultilevel"/>
    <w:tmpl w:val="4B521D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B441A"/>
    <w:multiLevelType w:val="hybridMultilevel"/>
    <w:tmpl w:val="A0EE58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71871"/>
    <w:multiLevelType w:val="hybridMultilevel"/>
    <w:tmpl w:val="C58E5C6A"/>
    <w:lvl w:ilvl="0" w:tplc="9C18C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C4D44"/>
    <w:multiLevelType w:val="hybridMultilevel"/>
    <w:tmpl w:val="025E2FF4"/>
    <w:lvl w:ilvl="0" w:tplc="0405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5CAB5BE3"/>
    <w:multiLevelType w:val="hybridMultilevel"/>
    <w:tmpl w:val="4790B5E2"/>
    <w:lvl w:ilvl="0" w:tplc="AED47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85D32"/>
    <w:multiLevelType w:val="hybridMultilevel"/>
    <w:tmpl w:val="CDA6FF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97F47"/>
    <w:multiLevelType w:val="hybridMultilevel"/>
    <w:tmpl w:val="4918A1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914AF"/>
    <w:multiLevelType w:val="hybridMultilevel"/>
    <w:tmpl w:val="60D40C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818FE"/>
    <w:multiLevelType w:val="hybridMultilevel"/>
    <w:tmpl w:val="F6C0D6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115B0"/>
    <w:multiLevelType w:val="hybridMultilevel"/>
    <w:tmpl w:val="0FDA8B4E"/>
    <w:lvl w:ilvl="0" w:tplc="ABA0C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116482">
    <w:abstractNumId w:val="2"/>
  </w:num>
  <w:num w:numId="2" w16cid:durableId="683673285">
    <w:abstractNumId w:val="4"/>
  </w:num>
  <w:num w:numId="3" w16cid:durableId="99181528">
    <w:abstractNumId w:val="0"/>
  </w:num>
  <w:num w:numId="4" w16cid:durableId="1621645049">
    <w:abstractNumId w:val="6"/>
  </w:num>
  <w:num w:numId="5" w16cid:durableId="1872454077">
    <w:abstractNumId w:val="3"/>
  </w:num>
  <w:num w:numId="6" w16cid:durableId="683678313">
    <w:abstractNumId w:val="7"/>
  </w:num>
  <w:num w:numId="7" w16cid:durableId="817846670">
    <w:abstractNumId w:val="5"/>
  </w:num>
  <w:num w:numId="8" w16cid:durableId="1658267833">
    <w:abstractNumId w:val="8"/>
  </w:num>
  <w:num w:numId="9" w16cid:durableId="1404832795">
    <w:abstractNumId w:val="1"/>
  </w:num>
  <w:num w:numId="10" w16cid:durableId="6227376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FC"/>
    <w:rsid w:val="000007CB"/>
    <w:rsid w:val="000118D8"/>
    <w:rsid w:val="00012114"/>
    <w:rsid w:val="00025444"/>
    <w:rsid w:val="000254B2"/>
    <w:rsid w:val="0003109F"/>
    <w:rsid w:val="000328E5"/>
    <w:rsid w:val="00045085"/>
    <w:rsid w:val="00054B92"/>
    <w:rsid w:val="000621E7"/>
    <w:rsid w:val="0008181A"/>
    <w:rsid w:val="00084004"/>
    <w:rsid w:val="000865F6"/>
    <w:rsid w:val="0009210A"/>
    <w:rsid w:val="0009576A"/>
    <w:rsid w:val="000A0633"/>
    <w:rsid w:val="000A3B68"/>
    <w:rsid w:val="000A5B3F"/>
    <w:rsid w:val="000A5FC4"/>
    <w:rsid w:val="000C5646"/>
    <w:rsid w:val="000D059A"/>
    <w:rsid w:val="000D6B0F"/>
    <w:rsid w:val="000E64B7"/>
    <w:rsid w:val="000E68E5"/>
    <w:rsid w:val="00101B81"/>
    <w:rsid w:val="00111E0B"/>
    <w:rsid w:val="0012040D"/>
    <w:rsid w:val="00121237"/>
    <w:rsid w:val="00121692"/>
    <w:rsid w:val="00130164"/>
    <w:rsid w:val="001459F3"/>
    <w:rsid w:val="00147719"/>
    <w:rsid w:val="001602A0"/>
    <w:rsid w:val="00160355"/>
    <w:rsid w:val="00160C56"/>
    <w:rsid w:val="00162B09"/>
    <w:rsid w:val="001653A8"/>
    <w:rsid w:val="00165E2C"/>
    <w:rsid w:val="00166D64"/>
    <w:rsid w:val="0017354E"/>
    <w:rsid w:val="00187083"/>
    <w:rsid w:val="00194250"/>
    <w:rsid w:val="00197FB1"/>
    <w:rsid w:val="001A1ABC"/>
    <w:rsid w:val="001A3DD6"/>
    <w:rsid w:val="001B2E69"/>
    <w:rsid w:val="001B55F1"/>
    <w:rsid w:val="001D5570"/>
    <w:rsid w:val="001D737E"/>
    <w:rsid w:val="001E21FC"/>
    <w:rsid w:val="001E759F"/>
    <w:rsid w:val="001F0854"/>
    <w:rsid w:val="00200812"/>
    <w:rsid w:val="00201EBA"/>
    <w:rsid w:val="00204B52"/>
    <w:rsid w:val="00204E81"/>
    <w:rsid w:val="00205754"/>
    <w:rsid w:val="00207060"/>
    <w:rsid w:val="00210BB9"/>
    <w:rsid w:val="00213E80"/>
    <w:rsid w:val="0021409F"/>
    <w:rsid w:val="0024206B"/>
    <w:rsid w:val="00242DF6"/>
    <w:rsid w:val="00246885"/>
    <w:rsid w:val="002601BB"/>
    <w:rsid w:val="00261651"/>
    <w:rsid w:val="002650DC"/>
    <w:rsid w:val="00266DBB"/>
    <w:rsid w:val="00277059"/>
    <w:rsid w:val="002865CD"/>
    <w:rsid w:val="002875ED"/>
    <w:rsid w:val="00291D07"/>
    <w:rsid w:val="00295750"/>
    <w:rsid w:val="002A43F1"/>
    <w:rsid w:val="002A4406"/>
    <w:rsid w:val="002A5D7C"/>
    <w:rsid w:val="002B1C08"/>
    <w:rsid w:val="002B2916"/>
    <w:rsid w:val="002B484E"/>
    <w:rsid w:val="002B5B39"/>
    <w:rsid w:val="002C05D8"/>
    <w:rsid w:val="002D4123"/>
    <w:rsid w:val="002D6AFB"/>
    <w:rsid w:val="002E208F"/>
    <w:rsid w:val="002E2A7D"/>
    <w:rsid w:val="002F304C"/>
    <w:rsid w:val="00301DFE"/>
    <w:rsid w:val="00301E18"/>
    <w:rsid w:val="003052D4"/>
    <w:rsid w:val="00316AF9"/>
    <w:rsid w:val="003342E5"/>
    <w:rsid w:val="00335C77"/>
    <w:rsid w:val="00335F80"/>
    <w:rsid w:val="00337679"/>
    <w:rsid w:val="00342C3C"/>
    <w:rsid w:val="0034436D"/>
    <w:rsid w:val="003511E5"/>
    <w:rsid w:val="00357361"/>
    <w:rsid w:val="003640E6"/>
    <w:rsid w:val="00372107"/>
    <w:rsid w:val="003758AB"/>
    <w:rsid w:val="00384DE8"/>
    <w:rsid w:val="00387394"/>
    <w:rsid w:val="00391BD8"/>
    <w:rsid w:val="00392AC4"/>
    <w:rsid w:val="003A0678"/>
    <w:rsid w:val="003A2469"/>
    <w:rsid w:val="003B0630"/>
    <w:rsid w:val="003B0F7B"/>
    <w:rsid w:val="003B341F"/>
    <w:rsid w:val="003C2737"/>
    <w:rsid w:val="003C5953"/>
    <w:rsid w:val="003C5B74"/>
    <w:rsid w:val="003C5E98"/>
    <w:rsid w:val="003C76DA"/>
    <w:rsid w:val="003D49B5"/>
    <w:rsid w:val="003D51C8"/>
    <w:rsid w:val="003D748C"/>
    <w:rsid w:val="003E217C"/>
    <w:rsid w:val="003E754F"/>
    <w:rsid w:val="003F1C87"/>
    <w:rsid w:val="003F261F"/>
    <w:rsid w:val="003F3FA4"/>
    <w:rsid w:val="00421528"/>
    <w:rsid w:val="00425C60"/>
    <w:rsid w:val="00430A34"/>
    <w:rsid w:val="004336A5"/>
    <w:rsid w:val="00436950"/>
    <w:rsid w:val="00442318"/>
    <w:rsid w:val="00462BF2"/>
    <w:rsid w:val="004674A4"/>
    <w:rsid w:val="00477B38"/>
    <w:rsid w:val="00477FDC"/>
    <w:rsid w:val="0048377C"/>
    <w:rsid w:val="004866E1"/>
    <w:rsid w:val="00487724"/>
    <w:rsid w:val="00487E61"/>
    <w:rsid w:val="00492950"/>
    <w:rsid w:val="00497C35"/>
    <w:rsid w:val="004A20D1"/>
    <w:rsid w:val="004A69CD"/>
    <w:rsid w:val="004B7381"/>
    <w:rsid w:val="004C1345"/>
    <w:rsid w:val="004C4BC1"/>
    <w:rsid w:val="004C5A75"/>
    <w:rsid w:val="004D31EA"/>
    <w:rsid w:val="004E1474"/>
    <w:rsid w:val="004F74E3"/>
    <w:rsid w:val="004F7FD4"/>
    <w:rsid w:val="0050098A"/>
    <w:rsid w:val="00500E9A"/>
    <w:rsid w:val="00503E11"/>
    <w:rsid w:val="00504ECD"/>
    <w:rsid w:val="00507FED"/>
    <w:rsid w:val="00510ADB"/>
    <w:rsid w:val="0051231E"/>
    <w:rsid w:val="00513544"/>
    <w:rsid w:val="0051408A"/>
    <w:rsid w:val="00514772"/>
    <w:rsid w:val="00516864"/>
    <w:rsid w:val="005170ED"/>
    <w:rsid w:val="0051793F"/>
    <w:rsid w:val="00520AB1"/>
    <w:rsid w:val="0052378B"/>
    <w:rsid w:val="00526133"/>
    <w:rsid w:val="00531683"/>
    <w:rsid w:val="00537190"/>
    <w:rsid w:val="0053788B"/>
    <w:rsid w:val="00540AE2"/>
    <w:rsid w:val="0055171E"/>
    <w:rsid w:val="00552099"/>
    <w:rsid w:val="00566E69"/>
    <w:rsid w:val="00572268"/>
    <w:rsid w:val="00573CBA"/>
    <w:rsid w:val="00592428"/>
    <w:rsid w:val="00593825"/>
    <w:rsid w:val="005A45B7"/>
    <w:rsid w:val="005A4755"/>
    <w:rsid w:val="005A6A30"/>
    <w:rsid w:val="005A6E86"/>
    <w:rsid w:val="005B0257"/>
    <w:rsid w:val="005B0664"/>
    <w:rsid w:val="005C1C2C"/>
    <w:rsid w:val="005C29FD"/>
    <w:rsid w:val="005D38A4"/>
    <w:rsid w:val="005E2B61"/>
    <w:rsid w:val="005E73CB"/>
    <w:rsid w:val="005E7E93"/>
    <w:rsid w:val="005F1BBE"/>
    <w:rsid w:val="00602AA8"/>
    <w:rsid w:val="006050D4"/>
    <w:rsid w:val="00605975"/>
    <w:rsid w:val="00606A6A"/>
    <w:rsid w:val="0061485C"/>
    <w:rsid w:val="0061632D"/>
    <w:rsid w:val="006243B0"/>
    <w:rsid w:val="00627E81"/>
    <w:rsid w:val="00633E7F"/>
    <w:rsid w:val="006374F4"/>
    <w:rsid w:val="00640A5D"/>
    <w:rsid w:val="0064262B"/>
    <w:rsid w:val="0064368A"/>
    <w:rsid w:val="00657850"/>
    <w:rsid w:val="00657D37"/>
    <w:rsid w:val="00663E43"/>
    <w:rsid w:val="00676761"/>
    <w:rsid w:val="00692824"/>
    <w:rsid w:val="00692B07"/>
    <w:rsid w:val="00696445"/>
    <w:rsid w:val="006A0AB1"/>
    <w:rsid w:val="006A1411"/>
    <w:rsid w:val="006B4B1D"/>
    <w:rsid w:val="006C27FD"/>
    <w:rsid w:val="006C594F"/>
    <w:rsid w:val="006D1827"/>
    <w:rsid w:val="006D4065"/>
    <w:rsid w:val="006D7161"/>
    <w:rsid w:val="006E1D6D"/>
    <w:rsid w:val="006F676F"/>
    <w:rsid w:val="006F6B7C"/>
    <w:rsid w:val="00702419"/>
    <w:rsid w:val="00705077"/>
    <w:rsid w:val="00713100"/>
    <w:rsid w:val="00726390"/>
    <w:rsid w:val="00733F0D"/>
    <w:rsid w:val="00762CC4"/>
    <w:rsid w:val="00770DD5"/>
    <w:rsid w:val="0078483C"/>
    <w:rsid w:val="00784C48"/>
    <w:rsid w:val="00787E44"/>
    <w:rsid w:val="00791EC9"/>
    <w:rsid w:val="0079357C"/>
    <w:rsid w:val="007A4FC3"/>
    <w:rsid w:val="007B0C21"/>
    <w:rsid w:val="007B3C39"/>
    <w:rsid w:val="007B4440"/>
    <w:rsid w:val="007B6037"/>
    <w:rsid w:val="007B729A"/>
    <w:rsid w:val="007B797B"/>
    <w:rsid w:val="007C3C9F"/>
    <w:rsid w:val="007C7498"/>
    <w:rsid w:val="007D29A2"/>
    <w:rsid w:val="007D2FAF"/>
    <w:rsid w:val="007E00AB"/>
    <w:rsid w:val="007F2A42"/>
    <w:rsid w:val="007F2FDA"/>
    <w:rsid w:val="007F59A5"/>
    <w:rsid w:val="0080349D"/>
    <w:rsid w:val="008041FC"/>
    <w:rsid w:val="00806B6B"/>
    <w:rsid w:val="00807BD3"/>
    <w:rsid w:val="00813905"/>
    <w:rsid w:val="008150DE"/>
    <w:rsid w:val="0082054F"/>
    <w:rsid w:val="00820F4A"/>
    <w:rsid w:val="00827C1E"/>
    <w:rsid w:val="00834204"/>
    <w:rsid w:val="00836700"/>
    <w:rsid w:val="00836CF8"/>
    <w:rsid w:val="008416C4"/>
    <w:rsid w:val="008427F2"/>
    <w:rsid w:val="008436D1"/>
    <w:rsid w:val="0085081B"/>
    <w:rsid w:val="00851F8B"/>
    <w:rsid w:val="008560FE"/>
    <w:rsid w:val="00860DCC"/>
    <w:rsid w:val="00870CED"/>
    <w:rsid w:val="008727C4"/>
    <w:rsid w:val="00872C5F"/>
    <w:rsid w:val="0087496A"/>
    <w:rsid w:val="0089083D"/>
    <w:rsid w:val="00892695"/>
    <w:rsid w:val="00896168"/>
    <w:rsid w:val="008A1311"/>
    <w:rsid w:val="008A2CA6"/>
    <w:rsid w:val="008A3986"/>
    <w:rsid w:val="008A61C9"/>
    <w:rsid w:val="008B00E3"/>
    <w:rsid w:val="008B0C2D"/>
    <w:rsid w:val="008B731C"/>
    <w:rsid w:val="008C7E8C"/>
    <w:rsid w:val="008D2A35"/>
    <w:rsid w:val="008D2A4A"/>
    <w:rsid w:val="008E6155"/>
    <w:rsid w:val="008E615A"/>
    <w:rsid w:val="008F780A"/>
    <w:rsid w:val="008F7874"/>
    <w:rsid w:val="009032FF"/>
    <w:rsid w:val="009045B3"/>
    <w:rsid w:val="00906A87"/>
    <w:rsid w:val="00906EB0"/>
    <w:rsid w:val="009076AD"/>
    <w:rsid w:val="009165DA"/>
    <w:rsid w:val="00926A2F"/>
    <w:rsid w:val="00934EF0"/>
    <w:rsid w:val="00940E04"/>
    <w:rsid w:val="0094108F"/>
    <w:rsid w:val="00941DAE"/>
    <w:rsid w:val="00945CCD"/>
    <w:rsid w:val="00946A54"/>
    <w:rsid w:val="0095218B"/>
    <w:rsid w:val="009522DF"/>
    <w:rsid w:val="00954E0A"/>
    <w:rsid w:val="009611A6"/>
    <w:rsid w:val="009621EC"/>
    <w:rsid w:val="009703ED"/>
    <w:rsid w:val="00971742"/>
    <w:rsid w:val="0097429D"/>
    <w:rsid w:val="00977A44"/>
    <w:rsid w:val="009905D5"/>
    <w:rsid w:val="00992620"/>
    <w:rsid w:val="00993C9B"/>
    <w:rsid w:val="00994CCA"/>
    <w:rsid w:val="009A0785"/>
    <w:rsid w:val="009A34BF"/>
    <w:rsid w:val="009A411D"/>
    <w:rsid w:val="009A4E7F"/>
    <w:rsid w:val="009A6C99"/>
    <w:rsid w:val="009A6FDA"/>
    <w:rsid w:val="009B6C73"/>
    <w:rsid w:val="009B6FFD"/>
    <w:rsid w:val="009C2302"/>
    <w:rsid w:val="009C66F1"/>
    <w:rsid w:val="009C7429"/>
    <w:rsid w:val="009E2A2B"/>
    <w:rsid w:val="009E66E0"/>
    <w:rsid w:val="009F15BA"/>
    <w:rsid w:val="00A141A1"/>
    <w:rsid w:val="00A17C00"/>
    <w:rsid w:val="00A24B1E"/>
    <w:rsid w:val="00A25986"/>
    <w:rsid w:val="00A27056"/>
    <w:rsid w:val="00A27E47"/>
    <w:rsid w:val="00A3077F"/>
    <w:rsid w:val="00A32115"/>
    <w:rsid w:val="00A529CF"/>
    <w:rsid w:val="00A57A67"/>
    <w:rsid w:val="00A65EDF"/>
    <w:rsid w:val="00A700FD"/>
    <w:rsid w:val="00A71667"/>
    <w:rsid w:val="00A71CC3"/>
    <w:rsid w:val="00A740EE"/>
    <w:rsid w:val="00A752B3"/>
    <w:rsid w:val="00A845F4"/>
    <w:rsid w:val="00A9186E"/>
    <w:rsid w:val="00AA16A7"/>
    <w:rsid w:val="00AA3514"/>
    <w:rsid w:val="00AA44B8"/>
    <w:rsid w:val="00AA6A12"/>
    <w:rsid w:val="00AB0587"/>
    <w:rsid w:val="00AC2083"/>
    <w:rsid w:val="00AD0667"/>
    <w:rsid w:val="00AD109F"/>
    <w:rsid w:val="00AD7153"/>
    <w:rsid w:val="00AD7DEC"/>
    <w:rsid w:val="00AE54B9"/>
    <w:rsid w:val="00AF0AE1"/>
    <w:rsid w:val="00B0241C"/>
    <w:rsid w:val="00B07483"/>
    <w:rsid w:val="00B10D81"/>
    <w:rsid w:val="00B13BFD"/>
    <w:rsid w:val="00B174A4"/>
    <w:rsid w:val="00B22ED5"/>
    <w:rsid w:val="00B253E9"/>
    <w:rsid w:val="00B35275"/>
    <w:rsid w:val="00B405ED"/>
    <w:rsid w:val="00B413F0"/>
    <w:rsid w:val="00B427F5"/>
    <w:rsid w:val="00B45237"/>
    <w:rsid w:val="00B538D9"/>
    <w:rsid w:val="00B61C87"/>
    <w:rsid w:val="00B64EF3"/>
    <w:rsid w:val="00B6705D"/>
    <w:rsid w:val="00B7030E"/>
    <w:rsid w:val="00B73741"/>
    <w:rsid w:val="00B819A7"/>
    <w:rsid w:val="00B82545"/>
    <w:rsid w:val="00B835F7"/>
    <w:rsid w:val="00B87F56"/>
    <w:rsid w:val="00B905D8"/>
    <w:rsid w:val="00BA11FF"/>
    <w:rsid w:val="00BA2635"/>
    <w:rsid w:val="00BB30FA"/>
    <w:rsid w:val="00BB327D"/>
    <w:rsid w:val="00BC5A79"/>
    <w:rsid w:val="00BC667C"/>
    <w:rsid w:val="00BD5704"/>
    <w:rsid w:val="00BD601A"/>
    <w:rsid w:val="00BE0BDA"/>
    <w:rsid w:val="00BE4349"/>
    <w:rsid w:val="00BF0126"/>
    <w:rsid w:val="00BF03BD"/>
    <w:rsid w:val="00BF09F9"/>
    <w:rsid w:val="00BF5EF6"/>
    <w:rsid w:val="00C03FFD"/>
    <w:rsid w:val="00C07208"/>
    <w:rsid w:val="00C11451"/>
    <w:rsid w:val="00C12CD2"/>
    <w:rsid w:val="00C13466"/>
    <w:rsid w:val="00C13E10"/>
    <w:rsid w:val="00C25D5C"/>
    <w:rsid w:val="00C27A9D"/>
    <w:rsid w:val="00C3524B"/>
    <w:rsid w:val="00C36D1E"/>
    <w:rsid w:val="00C37005"/>
    <w:rsid w:val="00C4689E"/>
    <w:rsid w:val="00C50ADD"/>
    <w:rsid w:val="00C52701"/>
    <w:rsid w:val="00C61723"/>
    <w:rsid w:val="00C61B30"/>
    <w:rsid w:val="00C61EED"/>
    <w:rsid w:val="00C62816"/>
    <w:rsid w:val="00C65316"/>
    <w:rsid w:val="00C73D6C"/>
    <w:rsid w:val="00C7561D"/>
    <w:rsid w:val="00C75978"/>
    <w:rsid w:val="00C76212"/>
    <w:rsid w:val="00C80186"/>
    <w:rsid w:val="00C97A39"/>
    <w:rsid w:val="00CA111F"/>
    <w:rsid w:val="00CA1D1E"/>
    <w:rsid w:val="00CA3FFE"/>
    <w:rsid w:val="00CA51B7"/>
    <w:rsid w:val="00CB0AF6"/>
    <w:rsid w:val="00CB46CC"/>
    <w:rsid w:val="00CC67FD"/>
    <w:rsid w:val="00CE6B2D"/>
    <w:rsid w:val="00CF2C2B"/>
    <w:rsid w:val="00CF40C8"/>
    <w:rsid w:val="00CF4DFE"/>
    <w:rsid w:val="00D0053E"/>
    <w:rsid w:val="00D027CA"/>
    <w:rsid w:val="00D0309E"/>
    <w:rsid w:val="00D117DB"/>
    <w:rsid w:val="00D17AE4"/>
    <w:rsid w:val="00D21028"/>
    <w:rsid w:val="00D2174A"/>
    <w:rsid w:val="00D260B4"/>
    <w:rsid w:val="00D2708D"/>
    <w:rsid w:val="00D27A1F"/>
    <w:rsid w:val="00D32655"/>
    <w:rsid w:val="00D3439F"/>
    <w:rsid w:val="00D41DF0"/>
    <w:rsid w:val="00D43223"/>
    <w:rsid w:val="00D47EB1"/>
    <w:rsid w:val="00D62E74"/>
    <w:rsid w:val="00D660AC"/>
    <w:rsid w:val="00D73975"/>
    <w:rsid w:val="00D7508B"/>
    <w:rsid w:val="00D87CCE"/>
    <w:rsid w:val="00DA2BB4"/>
    <w:rsid w:val="00DC04CF"/>
    <w:rsid w:val="00DD0F12"/>
    <w:rsid w:val="00DD4222"/>
    <w:rsid w:val="00DD6006"/>
    <w:rsid w:val="00DF3334"/>
    <w:rsid w:val="00DF3958"/>
    <w:rsid w:val="00DF4BBE"/>
    <w:rsid w:val="00E02EBB"/>
    <w:rsid w:val="00E0370C"/>
    <w:rsid w:val="00E064F6"/>
    <w:rsid w:val="00E12223"/>
    <w:rsid w:val="00E21DDD"/>
    <w:rsid w:val="00E27054"/>
    <w:rsid w:val="00E30935"/>
    <w:rsid w:val="00E32C1C"/>
    <w:rsid w:val="00E34A1B"/>
    <w:rsid w:val="00E34F4B"/>
    <w:rsid w:val="00E37FA3"/>
    <w:rsid w:val="00E40BE7"/>
    <w:rsid w:val="00E610B7"/>
    <w:rsid w:val="00E616F6"/>
    <w:rsid w:val="00E73E95"/>
    <w:rsid w:val="00E8287E"/>
    <w:rsid w:val="00E927FD"/>
    <w:rsid w:val="00EA4DF4"/>
    <w:rsid w:val="00EB081E"/>
    <w:rsid w:val="00EB41A2"/>
    <w:rsid w:val="00EB4B8E"/>
    <w:rsid w:val="00EC0FD3"/>
    <w:rsid w:val="00EC13F4"/>
    <w:rsid w:val="00EC2153"/>
    <w:rsid w:val="00EC2D92"/>
    <w:rsid w:val="00EC438F"/>
    <w:rsid w:val="00EC4D1F"/>
    <w:rsid w:val="00EC663B"/>
    <w:rsid w:val="00ED5F2F"/>
    <w:rsid w:val="00ED7BC3"/>
    <w:rsid w:val="00EE2972"/>
    <w:rsid w:val="00EF53E5"/>
    <w:rsid w:val="00EF5D64"/>
    <w:rsid w:val="00EF699F"/>
    <w:rsid w:val="00EF77AA"/>
    <w:rsid w:val="00F01C74"/>
    <w:rsid w:val="00F02381"/>
    <w:rsid w:val="00F0353A"/>
    <w:rsid w:val="00F06643"/>
    <w:rsid w:val="00F12447"/>
    <w:rsid w:val="00F13C76"/>
    <w:rsid w:val="00F200B7"/>
    <w:rsid w:val="00F34400"/>
    <w:rsid w:val="00F35556"/>
    <w:rsid w:val="00F35597"/>
    <w:rsid w:val="00F37D52"/>
    <w:rsid w:val="00F468EE"/>
    <w:rsid w:val="00F5084A"/>
    <w:rsid w:val="00F52E30"/>
    <w:rsid w:val="00F63943"/>
    <w:rsid w:val="00F70614"/>
    <w:rsid w:val="00F71193"/>
    <w:rsid w:val="00F71B60"/>
    <w:rsid w:val="00F73BCA"/>
    <w:rsid w:val="00F7776C"/>
    <w:rsid w:val="00F8126D"/>
    <w:rsid w:val="00F83D99"/>
    <w:rsid w:val="00F8571A"/>
    <w:rsid w:val="00F865E3"/>
    <w:rsid w:val="00F90DE8"/>
    <w:rsid w:val="00F929C3"/>
    <w:rsid w:val="00F93188"/>
    <w:rsid w:val="00F93512"/>
    <w:rsid w:val="00F95A8C"/>
    <w:rsid w:val="00FA0AA4"/>
    <w:rsid w:val="00FA1F65"/>
    <w:rsid w:val="00FA5C9E"/>
    <w:rsid w:val="00FA765E"/>
    <w:rsid w:val="00FC3ECD"/>
    <w:rsid w:val="00FD2A9F"/>
    <w:rsid w:val="00FD3411"/>
    <w:rsid w:val="00FE346C"/>
    <w:rsid w:val="00FE3759"/>
    <w:rsid w:val="00FE429C"/>
    <w:rsid w:val="00FF00CB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4201"/>
  <w15:chartTrackingRefBased/>
  <w15:docId w15:val="{B523A345-817B-4F2E-ACCE-29A5C3C8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32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940E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17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A2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615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940E04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650D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50DC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17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ext-2xl">
    <w:name w:val="text-2xl"/>
    <w:basedOn w:val="Standardnpsmoodstavce"/>
    <w:rsid w:val="00D117DB"/>
  </w:style>
  <w:style w:type="paragraph" w:customStyle="1" w:styleId="my-3">
    <w:name w:val="my-3"/>
    <w:basedOn w:val="Normln"/>
    <w:rsid w:val="00D11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border">
    <w:name w:val="border"/>
    <w:basedOn w:val="Standardnpsmoodstavce"/>
    <w:rsid w:val="00D117DB"/>
  </w:style>
  <w:style w:type="character" w:styleId="Siln">
    <w:name w:val="Strong"/>
    <w:basedOn w:val="Standardnpsmoodstavce"/>
    <w:uiPriority w:val="22"/>
    <w:qFormat/>
    <w:rsid w:val="00D117DB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F20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0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0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0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0AE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301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903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8D2A3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5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0ADD"/>
  </w:style>
  <w:style w:type="paragraph" w:styleId="Zpat">
    <w:name w:val="footer"/>
    <w:basedOn w:val="Normln"/>
    <w:link w:val="ZpatChar"/>
    <w:uiPriority w:val="99"/>
    <w:unhideWhenUsed/>
    <w:rsid w:val="00C5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0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82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511472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543643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85908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27241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89809422">
                  <w:marLeft w:val="0"/>
                  <w:marRight w:val="0"/>
                  <w:marTop w:val="240"/>
                  <w:marBottom w:val="1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2881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3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492481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741976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4775274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337119587">
                  <w:blockQuote w:val="1"/>
                  <w:marLeft w:val="0"/>
                  <w:marRight w:val="0"/>
                  <w:marTop w:val="100"/>
                  <w:marBottom w:val="1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442771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72174977">
                  <w:blockQuote w:val="1"/>
                  <w:marLeft w:val="0"/>
                  <w:marRight w:val="0"/>
                  <w:marTop w:val="100"/>
                  <w:marBottom w:val="1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4678155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147236984">
                  <w:blockQuote w:val="1"/>
                  <w:marLeft w:val="0"/>
                  <w:marRight w:val="0"/>
                  <w:marTop w:val="100"/>
                  <w:marBottom w:val="1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6654324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067414111">
                  <w:blockQuote w:val="1"/>
                  <w:marLeft w:val="0"/>
                  <w:marRight w:val="0"/>
                  <w:marTop w:val="100"/>
                  <w:marBottom w:val="1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5592169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391072934">
                  <w:blockQuote w:val="1"/>
                  <w:marLeft w:val="0"/>
                  <w:marRight w:val="0"/>
                  <w:marTop w:val="100"/>
                  <w:marBottom w:val="1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0112508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751998393">
                  <w:blockQuote w:val="1"/>
                  <w:marLeft w:val="0"/>
                  <w:marRight w:val="0"/>
                  <w:marTop w:val="100"/>
                  <w:marBottom w:val="1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88213224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16101759">
                  <w:blockQuote w:val="1"/>
                  <w:marLeft w:val="0"/>
                  <w:marRight w:val="0"/>
                  <w:marTop w:val="100"/>
                  <w:marBottom w:val="1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3398210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15681881">
                  <w:blockQuote w:val="1"/>
                  <w:marLeft w:val="0"/>
                  <w:marRight w:val="0"/>
                  <w:marTop w:val="100"/>
                  <w:marBottom w:val="1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6502053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144464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218146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2968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44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594791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590124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s://www.nagata-i.com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s://afry.com/cs-cz/projekt/afry-pripravuje-stavbu-stoleti-vltavskou-filharmonii-v-praze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big.dk/projects/vltava-philharmonic-prague-434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hyperlink" Target="https://big.dk/projects/vltava-philharmonic-prague-434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a@marketamik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1447</Words>
  <Characters>8544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Miková</dc:creator>
  <cp:keywords/>
  <dc:description/>
  <cp:lastModifiedBy>Míková, Markéta (ext)</cp:lastModifiedBy>
  <cp:revision>8</cp:revision>
  <dcterms:created xsi:type="dcterms:W3CDTF">2024-09-17T16:19:00Z</dcterms:created>
  <dcterms:modified xsi:type="dcterms:W3CDTF">2024-09-23T09:55:00Z</dcterms:modified>
</cp:coreProperties>
</file>