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97B8" w14:textId="77777777" w:rsidR="004279CE" w:rsidRDefault="004279CE" w:rsidP="004279CE">
      <w:pPr>
        <w:pBdr>
          <w:bottom w:val="single" w:sz="4" w:space="1" w:color="auto"/>
        </w:pBdr>
        <w:jc w:val="center"/>
      </w:pPr>
      <w:r>
        <w:rPr>
          <w:noProof/>
        </w:rPr>
        <w:drawing>
          <wp:inline distT="0" distB="0" distL="0" distR="0" wp14:anchorId="427599C2" wp14:editId="349874BB">
            <wp:extent cx="2267712" cy="64922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7712" cy="649224"/>
                    </a:xfrm>
                    <a:prstGeom prst="rect">
                      <a:avLst/>
                    </a:prstGeom>
                  </pic:spPr>
                </pic:pic>
              </a:graphicData>
            </a:graphic>
          </wp:inline>
        </w:drawing>
      </w:r>
    </w:p>
    <w:p w14:paraId="0FE53FD2" w14:textId="77777777" w:rsidR="004279CE" w:rsidRDefault="004279CE" w:rsidP="004279CE">
      <w:pPr>
        <w:pBdr>
          <w:bottom w:val="single" w:sz="4" w:space="1" w:color="auto"/>
        </w:pBdr>
      </w:pPr>
    </w:p>
    <w:p w14:paraId="35D4B911" w14:textId="77777777" w:rsidR="004279CE" w:rsidRDefault="004279CE" w:rsidP="0074343C">
      <w:pPr>
        <w:pBdr>
          <w:bottom w:val="single" w:sz="4" w:space="1" w:color="auto"/>
        </w:pBdr>
        <w:jc w:val="center"/>
        <w:rPr>
          <w:b/>
          <w:bCs/>
          <w:sz w:val="28"/>
          <w:szCs w:val="28"/>
        </w:rPr>
      </w:pPr>
    </w:p>
    <w:p w14:paraId="62813D85" w14:textId="7773F040" w:rsidR="0074343C" w:rsidRPr="0052160F" w:rsidRDefault="0074343C" w:rsidP="0074343C">
      <w:pPr>
        <w:pBdr>
          <w:bottom w:val="single" w:sz="4" w:space="1" w:color="auto"/>
        </w:pBdr>
        <w:jc w:val="center"/>
        <w:rPr>
          <w:b/>
          <w:bCs/>
          <w:sz w:val="28"/>
          <w:szCs w:val="28"/>
        </w:rPr>
      </w:pPr>
      <w:r w:rsidRPr="0052160F">
        <w:rPr>
          <w:b/>
          <w:bCs/>
          <w:sz w:val="28"/>
          <w:szCs w:val="28"/>
        </w:rPr>
        <w:t>T I S K O V Á   Z P R Á V A</w:t>
      </w:r>
    </w:p>
    <w:p w14:paraId="13220431" w14:textId="77777777" w:rsidR="0074343C" w:rsidRDefault="0074343C" w:rsidP="0074343C">
      <w:pPr>
        <w:pBdr>
          <w:bottom w:val="single" w:sz="4" w:space="1" w:color="auto"/>
        </w:pBdr>
      </w:pPr>
    </w:p>
    <w:p w14:paraId="093A7D83" w14:textId="0B80E29F" w:rsidR="0074343C" w:rsidRDefault="0074343C" w:rsidP="00B90F3A">
      <w:pPr>
        <w:pBdr>
          <w:bottom w:val="single" w:sz="4" w:space="1" w:color="auto"/>
        </w:pBdr>
      </w:pPr>
      <w:r>
        <w:t xml:space="preserve">Praha, </w:t>
      </w:r>
      <w:r w:rsidRPr="00163C2C">
        <w:t xml:space="preserve">dne </w:t>
      </w:r>
      <w:r w:rsidR="00D41F8F" w:rsidRPr="00163C2C">
        <w:t>1</w:t>
      </w:r>
      <w:r w:rsidR="00FD7A58" w:rsidRPr="00163C2C">
        <w:t>0</w:t>
      </w:r>
      <w:r w:rsidR="0065797C" w:rsidRPr="00163C2C">
        <w:t xml:space="preserve">. </w:t>
      </w:r>
      <w:r w:rsidR="00D813CE" w:rsidRPr="00163C2C">
        <w:t>listopadu</w:t>
      </w:r>
      <w:r w:rsidR="00D813CE">
        <w:t xml:space="preserve"> </w:t>
      </w:r>
      <w:r w:rsidR="00D42C9F">
        <w:t>202</w:t>
      </w:r>
      <w:r w:rsidR="00D41F8F">
        <w:t>5</w:t>
      </w:r>
    </w:p>
    <w:p w14:paraId="5EC8D6C5" w14:textId="77777777" w:rsidR="00B90F3A" w:rsidRDefault="00B90F3A" w:rsidP="0074343C">
      <w:pPr>
        <w:jc w:val="center"/>
        <w:rPr>
          <w:b/>
          <w:bCs/>
        </w:rPr>
      </w:pPr>
    </w:p>
    <w:p w14:paraId="426A32E4" w14:textId="6E60A4B0" w:rsidR="00006503" w:rsidRDefault="00D42C9F" w:rsidP="0074343C">
      <w:pPr>
        <w:jc w:val="center"/>
        <w:rPr>
          <w:b/>
          <w:bCs/>
        </w:rPr>
      </w:pPr>
      <w:r>
        <w:rPr>
          <w:b/>
          <w:bCs/>
        </w:rPr>
        <w:t xml:space="preserve">TRŽNÍ HODNOTA NEMOVITOSTNÍHO PORTFOLIA </w:t>
      </w:r>
      <w:r w:rsidR="00B90F3A">
        <w:rPr>
          <w:b/>
          <w:bCs/>
        </w:rPr>
        <w:t>PRAŽSKÉ DEVELOPERSKÉ SPOLEČNOSTI</w:t>
      </w:r>
      <w:r>
        <w:rPr>
          <w:b/>
          <w:bCs/>
        </w:rPr>
        <w:t xml:space="preserve"> </w:t>
      </w:r>
      <w:r>
        <w:rPr>
          <w:b/>
          <w:bCs/>
        </w:rPr>
        <w:br/>
      </w:r>
      <w:r w:rsidR="000258EA">
        <w:rPr>
          <w:b/>
          <w:bCs/>
        </w:rPr>
        <w:t xml:space="preserve">SE ZVÝŠILA NA </w:t>
      </w:r>
      <w:r w:rsidR="00A11AE0">
        <w:rPr>
          <w:b/>
          <w:bCs/>
        </w:rPr>
        <w:t>9</w:t>
      </w:r>
      <w:r w:rsidR="00F66BD6">
        <w:rPr>
          <w:b/>
          <w:bCs/>
        </w:rPr>
        <w:t>,</w:t>
      </w:r>
      <w:r w:rsidR="00A11AE0">
        <w:rPr>
          <w:b/>
          <w:bCs/>
        </w:rPr>
        <w:t>409</w:t>
      </w:r>
      <w:r>
        <w:rPr>
          <w:b/>
          <w:bCs/>
        </w:rPr>
        <w:t xml:space="preserve"> MILIARDY KORUN</w:t>
      </w:r>
      <w:r w:rsidR="00B90F3A">
        <w:rPr>
          <w:b/>
          <w:bCs/>
        </w:rPr>
        <w:t xml:space="preserve"> </w:t>
      </w:r>
    </w:p>
    <w:p w14:paraId="73A6F813" w14:textId="3F79FC5C" w:rsidR="0074343C" w:rsidRPr="00317B85" w:rsidRDefault="0074343C" w:rsidP="00286645">
      <w:pPr>
        <w:jc w:val="center"/>
        <w:rPr>
          <w:b/>
          <w:bCs/>
        </w:rPr>
      </w:pPr>
    </w:p>
    <w:p w14:paraId="7C4BB424" w14:textId="18EF8B17" w:rsidR="002931BB" w:rsidRPr="005F5A3F" w:rsidRDefault="003733E2" w:rsidP="0074343C">
      <w:pPr>
        <w:jc w:val="both"/>
        <w:rPr>
          <w:b/>
          <w:bCs/>
        </w:rPr>
      </w:pPr>
      <w:r w:rsidRPr="005F5A3F">
        <w:rPr>
          <w:b/>
          <w:bCs/>
        </w:rPr>
        <w:t>Pražská developerská společnost</w:t>
      </w:r>
      <w:r w:rsidR="0046385A" w:rsidRPr="005F5A3F">
        <w:rPr>
          <w:b/>
          <w:bCs/>
        </w:rPr>
        <w:t xml:space="preserve"> (PDS)</w:t>
      </w:r>
      <w:r w:rsidRPr="005F5A3F">
        <w:rPr>
          <w:b/>
          <w:bCs/>
        </w:rPr>
        <w:t xml:space="preserve">, příspěvková organizace </w:t>
      </w:r>
      <w:r w:rsidR="00D83D38" w:rsidRPr="005F5A3F">
        <w:rPr>
          <w:b/>
          <w:bCs/>
        </w:rPr>
        <w:t xml:space="preserve">hl. m. Prahy, </w:t>
      </w:r>
      <w:r w:rsidR="00A67BCE" w:rsidRPr="005F5A3F">
        <w:rPr>
          <w:b/>
          <w:bCs/>
        </w:rPr>
        <w:t xml:space="preserve">předložila pravidelné </w:t>
      </w:r>
      <w:r w:rsidR="00D83D38" w:rsidRPr="005F5A3F">
        <w:rPr>
          <w:b/>
          <w:bCs/>
        </w:rPr>
        <w:t xml:space="preserve">tržní ocenění svého </w:t>
      </w:r>
      <w:r w:rsidR="002931BB" w:rsidRPr="005F5A3F">
        <w:rPr>
          <w:b/>
          <w:bCs/>
        </w:rPr>
        <w:t xml:space="preserve">nemovitostního </w:t>
      </w:r>
      <w:r w:rsidR="00D83D38" w:rsidRPr="005F5A3F">
        <w:rPr>
          <w:b/>
          <w:bCs/>
        </w:rPr>
        <w:t xml:space="preserve">portfolia, </w:t>
      </w:r>
      <w:r w:rsidR="00A67BCE" w:rsidRPr="005F5A3F">
        <w:rPr>
          <w:b/>
          <w:bCs/>
        </w:rPr>
        <w:t xml:space="preserve">do kterého bylo zahrnuto </w:t>
      </w:r>
      <w:r w:rsidR="001500E6" w:rsidRPr="005F5A3F">
        <w:rPr>
          <w:b/>
          <w:bCs/>
        </w:rPr>
        <w:t>757</w:t>
      </w:r>
      <w:r w:rsidR="002931BB" w:rsidRPr="005F5A3F">
        <w:rPr>
          <w:b/>
          <w:bCs/>
        </w:rPr>
        <w:t>.000 m</w:t>
      </w:r>
      <w:r w:rsidR="002931BB" w:rsidRPr="005F5A3F">
        <w:rPr>
          <w:b/>
          <w:bCs/>
          <w:vertAlign w:val="superscript"/>
        </w:rPr>
        <w:t>2</w:t>
      </w:r>
      <w:r w:rsidR="002931BB" w:rsidRPr="005F5A3F">
        <w:rPr>
          <w:b/>
          <w:bCs/>
        </w:rPr>
        <w:t xml:space="preserve"> </w:t>
      </w:r>
      <w:r w:rsidR="00C14E4E" w:rsidRPr="005F5A3F">
        <w:rPr>
          <w:b/>
          <w:bCs/>
        </w:rPr>
        <w:t xml:space="preserve">městských </w:t>
      </w:r>
      <w:r w:rsidR="002931BB" w:rsidRPr="005F5A3F">
        <w:rPr>
          <w:b/>
          <w:bCs/>
        </w:rPr>
        <w:t xml:space="preserve">pozemků </w:t>
      </w:r>
      <w:r w:rsidR="00BE03B6" w:rsidRPr="005F5A3F">
        <w:rPr>
          <w:b/>
          <w:bCs/>
        </w:rPr>
        <w:t xml:space="preserve">určených </w:t>
      </w:r>
      <w:r w:rsidR="00A67BCE" w:rsidRPr="005F5A3F">
        <w:rPr>
          <w:b/>
          <w:bCs/>
        </w:rPr>
        <w:t xml:space="preserve">především </w:t>
      </w:r>
      <w:r w:rsidR="00C14E4E" w:rsidRPr="005F5A3F">
        <w:rPr>
          <w:b/>
          <w:bCs/>
        </w:rPr>
        <w:t xml:space="preserve">pro bytovou výstavbu. </w:t>
      </w:r>
      <w:r w:rsidRPr="005F5A3F">
        <w:rPr>
          <w:b/>
          <w:bCs/>
        </w:rPr>
        <w:t xml:space="preserve">Tržní hodnota oceňovaných nemovitostí byla k 1. </w:t>
      </w:r>
      <w:r w:rsidR="00A11AE0">
        <w:rPr>
          <w:b/>
          <w:bCs/>
        </w:rPr>
        <w:t xml:space="preserve">červnu </w:t>
      </w:r>
      <w:r w:rsidRPr="005F5A3F">
        <w:rPr>
          <w:b/>
          <w:bCs/>
        </w:rPr>
        <w:t>202</w:t>
      </w:r>
      <w:r w:rsidR="00A11AE0">
        <w:rPr>
          <w:b/>
          <w:bCs/>
        </w:rPr>
        <w:t>5</w:t>
      </w:r>
      <w:r w:rsidRPr="005F5A3F">
        <w:rPr>
          <w:b/>
          <w:bCs/>
        </w:rPr>
        <w:t xml:space="preserve"> </w:t>
      </w:r>
      <w:r w:rsidR="00A356B3">
        <w:rPr>
          <w:b/>
          <w:bCs/>
        </w:rPr>
        <w:t xml:space="preserve">stanovena </w:t>
      </w:r>
      <w:r w:rsidR="00B53C45" w:rsidRPr="005F5A3F">
        <w:rPr>
          <w:b/>
          <w:bCs/>
        </w:rPr>
        <w:t>renomovanou</w:t>
      </w:r>
      <w:r w:rsidRPr="005F5A3F">
        <w:rPr>
          <w:b/>
          <w:bCs/>
        </w:rPr>
        <w:t xml:space="preserve"> mezinárodní poradenskou společností </w:t>
      </w:r>
      <w:proofErr w:type="spellStart"/>
      <w:r w:rsidRPr="005F5A3F">
        <w:rPr>
          <w:b/>
          <w:bCs/>
        </w:rPr>
        <w:t>Knight</w:t>
      </w:r>
      <w:proofErr w:type="spellEnd"/>
      <w:r w:rsidRPr="005F5A3F">
        <w:rPr>
          <w:b/>
          <w:bCs/>
        </w:rPr>
        <w:t xml:space="preserve"> Frank n</w:t>
      </w:r>
      <w:r w:rsidR="005F5A3F" w:rsidRPr="005F5A3F">
        <w:rPr>
          <w:b/>
          <w:bCs/>
        </w:rPr>
        <w:t xml:space="preserve">a </w:t>
      </w:r>
      <w:r w:rsidR="00A11AE0">
        <w:rPr>
          <w:b/>
          <w:bCs/>
        </w:rPr>
        <w:t>9</w:t>
      </w:r>
      <w:r w:rsidR="005F5A3F" w:rsidRPr="005F5A3F">
        <w:rPr>
          <w:b/>
          <w:bCs/>
        </w:rPr>
        <w:t>.</w:t>
      </w:r>
      <w:r w:rsidR="00A11AE0">
        <w:rPr>
          <w:b/>
          <w:bCs/>
        </w:rPr>
        <w:t>409</w:t>
      </w:r>
      <w:r w:rsidR="005F5A3F" w:rsidRPr="005F5A3F">
        <w:rPr>
          <w:b/>
          <w:bCs/>
        </w:rPr>
        <w:t>.000</w:t>
      </w:r>
      <w:r w:rsidR="00A67BCE" w:rsidRPr="005F5A3F">
        <w:rPr>
          <w:b/>
          <w:bCs/>
        </w:rPr>
        <w:t xml:space="preserve">.000 </w:t>
      </w:r>
      <w:r w:rsidR="002931BB" w:rsidRPr="005F5A3F">
        <w:rPr>
          <w:b/>
          <w:bCs/>
        </w:rPr>
        <w:t>Kč. Pravidelná tržní ocenění, běžná u privátních správců nemovitého majetku, slouží jako podklad pro strategická rozhodnutí hl. m. Prahy, jak s</w:t>
      </w:r>
      <w:r w:rsidR="0046385A" w:rsidRPr="005F5A3F">
        <w:rPr>
          <w:b/>
          <w:bCs/>
        </w:rPr>
        <w:t>e svým</w:t>
      </w:r>
      <w:r w:rsidR="002931BB" w:rsidRPr="005F5A3F">
        <w:rPr>
          <w:b/>
          <w:bCs/>
        </w:rPr>
        <w:t> majetkem nakládat</w:t>
      </w:r>
      <w:r w:rsidR="0046385A" w:rsidRPr="005F5A3F">
        <w:rPr>
          <w:b/>
          <w:bCs/>
        </w:rPr>
        <w:t xml:space="preserve"> a</w:t>
      </w:r>
      <w:r w:rsidR="002931BB" w:rsidRPr="005F5A3F">
        <w:rPr>
          <w:b/>
          <w:bCs/>
        </w:rPr>
        <w:t xml:space="preserve"> jak jej dále zhodnocovat. Tržní ocenění </w:t>
      </w:r>
      <w:r w:rsidR="00BE03B6" w:rsidRPr="005F5A3F">
        <w:rPr>
          <w:b/>
          <w:bCs/>
        </w:rPr>
        <w:t xml:space="preserve">bude </w:t>
      </w:r>
      <w:r w:rsidR="00A67BCE" w:rsidRPr="005F5A3F">
        <w:rPr>
          <w:b/>
          <w:bCs/>
        </w:rPr>
        <w:t xml:space="preserve">důležitým </w:t>
      </w:r>
      <w:r w:rsidR="002931BB" w:rsidRPr="005F5A3F">
        <w:rPr>
          <w:b/>
          <w:bCs/>
        </w:rPr>
        <w:t xml:space="preserve">podkladem pro jednání o </w:t>
      </w:r>
      <w:r w:rsidR="00C72999" w:rsidRPr="005F5A3F">
        <w:rPr>
          <w:b/>
          <w:bCs/>
        </w:rPr>
        <w:t xml:space="preserve">struktuře </w:t>
      </w:r>
      <w:r w:rsidR="002931BB" w:rsidRPr="005F5A3F">
        <w:rPr>
          <w:b/>
          <w:bCs/>
        </w:rPr>
        <w:t xml:space="preserve">financování </w:t>
      </w:r>
      <w:r w:rsidR="00A43725" w:rsidRPr="005F5A3F">
        <w:rPr>
          <w:b/>
          <w:bCs/>
        </w:rPr>
        <w:t xml:space="preserve">realizace a provozu </w:t>
      </w:r>
      <w:r w:rsidR="002931BB" w:rsidRPr="005F5A3F">
        <w:rPr>
          <w:b/>
          <w:bCs/>
        </w:rPr>
        <w:t xml:space="preserve">projektů městského nájemního bydlení, které PDS </w:t>
      </w:r>
      <w:r w:rsidR="00A10DA7" w:rsidRPr="005F5A3F">
        <w:rPr>
          <w:b/>
          <w:bCs/>
        </w:rPr>
        <w:t xml:space="preserve">pro hl. m. Prahu </w:t>
      </w:r>
      <w:r w:rsidR="002931BB" w:rsidRPr="005F5A3F">
        <w:rPr>
          <w:b/>
          <w:bCs/>
        </w:rPr>
        <w:t xml:space="preserve">připravuje. </w:t>
      </w:r>
    </w:p>
    <w:p w14:paraId="4D578041" w14:textId="30E029A9" w:rsidR="00BE03B6" w:rsidRPr="005F5A3F" w:rsidRDefault="00BE03B6" w:rsidP="0074343C">
      <w:pPr>
        <w:jc w:val="both"/>
        <w:rPr>
          <w:b/>
          <w:bCs/>
        </w:rPr>
      </w:pPr>
    </w:p>
    <w:p w14:paraId="63F73CFE" w14:textId="5B9D5ABE" w:rsidR="00A23087" w:rsidRDefault="00B9116F" w:rsidP="0074343C">
      <w:pPr>
        <w:jc w:val="both"/>
      </w:pPr>
      <w:r w:rsidRPr="005F5A3F">
        <w:t xml:space="preserve">Historicky první tržní ocenění portfolia </w:t>
      </w:r>
      <w:r w:rsidR="003F6DA8" w:rsidRPr="005F5A3F">
        <w:t xml:space="preserve">pozemků </w:t>
      </w:r>
      <w:r w:rsidRPr="005F5A3F">
        <w:t>svěřených</w:t>
      </w:r>
      <w:r w:rsidR="003F6DA8" w:rsidRPr="005F5A3F">
        <w:t xml:space="preserve"> k hospodaření provedl městský developer v roce 2021. </w:t>
      </w:r>
      <w:r w:rsidR="00A356B3">
        <w:t xml:space="preserve">Tržní hodnota </w:t>
      </w:r>
      <w:r w:rsidR="003F6DA8" w:rsidRPr="005F5A3F">
        <w:t xml:space="preserve">stanovená znalci v oboru oceňování byla </w:t>
      </w:r>
      <w:r w:rsidR="009E75A7" w:rsidRPr="005F5A3F">
        <w:t xml:space="preserve">tehdy </w:t>
      </w:r>
      <w:r w:rsidR="00A356B3">
        <w:t xml:space="preserve">poradenskou společností </w:t>
      </w:r>
      <w:proofErr w:type="spellStart"/>
      <w:r w:rsidR="00A356B3">
        <w:t>Knight</w:t>
      </w:r>
      <w:proofErr w:type="spellEnd"/>
      <w:r w:rsidR="00A356B3">
        <w:t xml:space="preserve"> Frank </w:t>
      </w:r>
      <w:r w:rsidR="003F6DA8" w:rsidRPr="005F5A3F">
        <w:t>sta</w:t>
      </w:r>
      <w:r w:rsidR="00D646A5" w:rsidRPr="005F5A3F">
        <w:t xml:space="preserve">novena na </w:t>
      </w:r>
      <w:r w:rsidR="00D646A5" w:rsidRPr="00A22F33">
        <w:rPr>
          <w:b/>
          <w:bCs/>
        </w:rPr>
        <w:t>2,939</w:t>
      </w:r>
      <w:r w:rsidR="00D646A5" w:rsidRPr="005F5A3F">
        <w:t xml:space="preserve"> </w:t>
      </w:r>
      <w:r w:rsidR="00A67BCE" w:rsidRPr="005F5A3F">
        <w:t xml:space="preserve">mld </w:t>
      </w:r>
      <w:r w:rsidR="00D646A5" w:rsidRPr="005F5A3F">
        <w:t xml:space="preserve">Kč. </w:t>
      </w:r>
      <w:r w:rsidR="00A67BCE" w:rsidRPr="005F5A3F">
        <w:t>V</w:t>
      </w:r>
      <w:r w:rsidR="00A76321" w:rsidRPr="005F5A3F">
        <w:t xml:space="preserve"> roce 2022 </w:t>
      </w:r>
      <w:r w:rsidR="00A67BCE" w:rsidRPr="005F5A3F">
        <w:t xml:space="preserve">se tržní hodnota realitního portfolia PDS </w:t>
      </w:r>
      <w:r w:rsidR="005A1329" w:rsidRPr="005F5A3F">
        <w:t xml:space="preserve">zvýšila na </w:t>
      </w:r>
      <w:r w:rsidR="005A1329" w:rsidRPr="00A22F33">
        <w:rPr>
          <w:b/>
          <w:bCs/>
        </w:rPr>
        <w:t>4,298</w:t>
      </w:r>
      <w:r w:rsidR="005A1329" w:rsidRPr="005F5A3F">
        <w:t xml:space="preserve"> m</w:t>
      </w:r>
      <w:r w:rsidR="00A67BCE" w:rsidRPr="005F5A3F">
        <w:t xml:space="preserve">ld </w:t>
      </w:r>
      <w:r w:rsidR="005A1329" w:rsidRPr="005F5A3F">
        <w:t>Kč</w:t>
      </w:r>
      <w:r w:rsidR="00A76321" w:rsidRPr="005F5A3F">
        <w:t xml:space="preserve"> a v roce 2023 činila tržní hodnota </w:t>
      </w:r>
      <w:r w:rsidR="00A67BCE" w:rsidRPr="005F5A3F">
        <w:t xml:space="preserve">nemovitostí, které byly předány PDS k hospodaření, </w:t>
      </w:r>
      <w:r w:rsidR="00A67BCE" w:rsidRPr="00A22F33">
        <w:rPr>
          <w:b/>
          <w:bCs/>
        </w:rPr>
        <w:t>7,123</w:t>
      </w:r>
      <w:r w:rsidR="00A67BCE" w:rsidRPr="005F5A3F">
        <w:t xml:space="preserve"> mld Kč.</w:t>
      </w:r>
      <w:r w:rsidR="00446E0E" w:rsidRPr="005F5A3F">
        <w:t xml:space="preserve"> K 1. </w:t>
      </w:r>
      <w:r w:rsidR="00A356B3">
        <w:t xml:space="preserve">srpnu </w:t>
      </w:r>
      <w:r w:rsidR="00446E0E" w:rsidRPr="005F5A3F">
        <w:t xml:space="preserve">2024 stanovili znalci </w:t>
      </w:r>
      <w:r w:rsidR="00A356B3">
        <w:t xml:space="preserve">z </w:t>
      </w:r>
      <w:proofErr w:type="spellStart"/>
      <w:r w:rsidR="00446E0E" w:rsidRPr="005F5A3F">
        <w:t>Knight</w:t>
      </w:r>
      <w:proofErr w:type="spellEnd"/>
      <w:r w:rsidR="00446E0E" w:rsidRPr="005F5A3F">
        <w:t xml:space="preserve"> Frank hodnotu nemovitostního portfolia PDS na </w:t>
      </w:r>
      <w:r w:rsidR="005F5A3F" w:rsidRPr="00C50398">
        <w:rPr>
          <w:b/>
          <w:bCs/>
        </w:rPr>
        <w:t>8,843</w:t>
      </w:r>
      <w:r w:rsidR="00446E0E" w:rsidRPr="005F5A3F">
        <w:t xml:space="preserve"> mld Kč</w:t>
      </w:r>
      <w:r w:rsidR="00A11AE0">
        <w:t xml:space="preserve"> a k datu 1. června 2025 vzrostla tržní hodnota realitního portfolia PDS na </w:t>
      </w:r>
      <w:r w:rsidR="00A11AE0" w:rsidRPr="00A11AE0">
        <w:rPr>
          <w:b/>
          <w:bCs/>
        </w:rPr>
        <w:t>9,409</w:t>
      </w:r>
      <w:r w:rsidR="00A11AE0">
        <w:t xml:space="preserve"> mld Kč. </w:t>
      </w:r>
      <w:r w:rsidR="00446E0E" w:rsidRPr="005F5A3F">
        <w:t xml:space="preserve"> </w:t>
      </w:r>
    </w:p>
    <w:p w14:paraId="586D91E4" w14:textId="77777777" w:rsidR="00A23087" w:rsidRDefault="00A23087" w:rsidP="0074343C">
      <w:pPr>
        <w:jc w:val="both"/>
      </w:pPr>
    </w:p>
    <w:p w14:paraId="175B527A" w14:textId="6B0F3A32" w:rsidR="00814C2B" w:rsidRPr="009C3250" w:rsidRDefault="00814C2B" w:rsidP="00814C2B">
      <w:pPr>
        <w:jc w:val="both"/>
      </w:pPr>
      <w:r w:rsidRPr="009C3250">
        <w:t>Celková změna hodnoty původního portfolia pozemků - 10 lokalit, které byly součástí prvního tržního ocenění v roce 2021 a které jsou dosud součástí pozemků předaných PDS k</w:t>
      </w:r>
      <w:r w:rsidR="00A11AE0">
        <w:t> </w:t>
      </w:r>
      <w:r w:rsidRPr="009C3250">
        <w:t>hospodaření</w:t>
      </w:r>
      <w:r w:rsidR="00A11AE0">
        <w:t>,</w:t>
      </w:r>
      <w:r w:rsidRPr="009C3250">
        <w:t xml:space="preserve"> narostla z </w:t>
      </w:r>
      <w:r w:rsidRPr="009C3250">
        <w:rPr>
          <w:b/>
          <w:bCs/>
        </w:rPr>
        <w:t>2,993</w:t>
      </w:r>
      <w:r w:rsidRPr="009C3250">
        <w:t xml:space="preserve"> mld. Kč v roce 2021 na hodnotu </w:t>
      </w:r>
      <w:r w:rsidRPr="00A11AE0">
        <w:rPr>
          <w:b/>
          <w:bCs/>
        </w:rPr>
        <w:t>6,</w:t>
      </w:r>
      <w:r w:rsidR="00A11AE0" w:rsidRPr="00A11AE0">
        <w:rPr>
          <w:b/>
          <w:bCs/>
        </w:rPr>
        <w:t>994</w:t>
      </w:r>
      <w:r w:rsidRPr="009C3250">
        <w:rPr>
          <w:b/>
          <w:bCs/>
        </w:rPr>
        <w:t xml:space="preserve"> </w:t>
      </w:r>
      <w:r w:rsidRPr="009C3250">
        <w:t xml:space="preserve">mld. Kč v roce 2024 tedy o více než </w:t>
      </w:r>
      <w:r w:rsidR="00A11AE0" w:rsidRPr="00A11AE0">
        <w:rPr>
          <w:b/>
          <w:bCs/>
        </w:rPr>
        <w:t>4</w:t>
      </w:r>
      <w:r w:rsidRPr="00A11AE0">
        <w:rPr>
          <w:b/>
          <w:bCs/>
        </w:rPr>
        <w:t>,</w:t>
      </w:r>
      <w:r w:rsidR="00A11AE0" w:rsidRPr="00A11AE0">
        <w:rPr>
          <w:b/>
          <w:bCs/>
        </w:rPr>
        <w:t>001</w:t>
      </w:r>
      <w:r w:rsidRPr="00A11AE0">
        <w:rPr>
          <w:color w:val="EE0000"/>
        </w:rPr>
        <w:t xml:space="preserve"> </w:t>
      </w:r>
      <w:r w:rsidRPr="009C3250">
        <w:t xml:space="preserve">mld. Kč. </w:t>
      </w:r>
    </w:p>
    <w:p w14:paraId="6E7B4A82" w14:textId="77777777" w:rsidR="009C3250" w:rsidRPr="009C3250" w:rsidRDefault="009C3250" w:rsidP="0074343C">
      <w:pPr>
        <w:jc w:val="both"/>
      </w:pPr>
    </w:p>
    <w:p w14:paraId="27194E20" w14:textId="3C96741D" w:rsidR="00E52D61" w:rsidRDefault="00EA0DB7" w:rsidP="0074343C">
      <w:pPr>
        <w:jc w:val="both"/>
      </w:pPr>
      <w:r w:rsidRPr="009C3250">
        <w:t xml:space="preserve">Kromě průběžné </w:t>
      </w:r>
      <w:r w:rsidR="00920C45" w:rsidRPr="009C3250">
        <w:t xml:space="preserve">profesionální investorsko-developerské </w:t>
      </w:r>
      <w:r w:rsidRPr="009C3250">
        <w:t xml:space="preserve">činnosti PDS </w:t>
      </w:r>
      <w:r w:rsidR="009C3250" w:rsidRPr="009C3250">
        <w:t xml:space="preserve">stojí </w:t>
      </w:r>
      <w:r w:rsidRPr="009C3250">
        <w:t xml:space="preserve">za pozitivním posunem hodnoty pozemků schválení klíčových změn územního plánu na Nových Dvorech a na Palmovce zastupitelstvem HMP, ke kterému došlo v polovině </w:t>
      </w:r>
      <w:r w:rsidR="00A11AE0">
        <w:t>roku 2024. B</w:t>
      </w:r>
      <w:r w:rsidR="009C3250" w:rsidRPr="009C3250">
        <w:t xml:space="preserve">yl tak </w:t>
      </w:r>
      <w:r w:rsidRPr="009C3250">
        <w:t>významně zvýšen rozvojový potenciál městských pozemků</w:t>
      </w:r>
      <w:r w:rsidR="009C3250">
        <w:t>,</w:t>
      </w:r>
      <w:r w:rsidRPr="009C3250">
        <w:t xml:space="preserve"> a </w:t>
      </w:r>
      <w:r w:rsidR="009C3250" w:rsidRPr="009C3250">
        <w:t xml:space="preserve">tedy i jejich hodnota. </w:t>
      </w:r>
    </w:p>
    <w:p w14:paraId="7BFDE167" w14:textId="77777777" w:rsidR="00EA0DB7" w:rsidRPr="00814C2B" w:rsidRDefault="00EA0DB7" w:rsidP="0074343C">
      <w:pPr>
        <w:jc w:val="both"/>
      </w:pPr>
    </w:p>
    <w:p w14:paraId="1105E4DB" w14:textId="5361D1BD" w:rsidR="00285633" w:rsidRPr="000258EA" w:rsidRDefault="00FE070F" w:rsidP="00504FBD">
      <w:pPr>
        <w:jc w:val="both"/>
        <w:rPr>
          <w:i/>
          <w:iCs/>
        </w:rPr>
      </w:pPr>
      <w:r w:rsidRPr="005F5A3F">
        <w:t>„</w:t>
      </w:r>
      <w:r w:rsidR="003F4C01">
        <w:rPr>
          <w:i/>
          <w:iCs/>
        </w:rPr>
        <w:t>V rámc</w:t>
      </w:r>
      <w:r w:rsidR="005B3438">
        <w:rPr>
          <w:i/>
          <w:iCs/>
        </w:rPr>
        <w:t>i</w:t>
      </w:r>
      <w:r w:rsidR="003F4C01">
        <w:rPr>
          <w:i/>
          <w:iCs/>
        </w:rPr>
        <w:t xml:space="preserve"> p</w:t>
      </w:r>
      <w:r w:rsidR="005B3438">
        <w:rPr>
          <w:i/>
          <w:iCs/>
        </w:rPr>
        <w:t>ř</w:t>
      </w:r>
      <w:r w:rsidR="003F4C01">
        <w:rPr>
          <w:i/>
          <w:iCs/>
        </w:rPr>
        <w:t xml:space="preserve">ipravovaného </w:t>
      </w:r>
      <w:r w:rsidR="005B3438">
        <w:rPr>
          <w:i/>
          <w:iCs/>
        </w:rPr>
        <w:t xml:space="preserve">Metropolitního plánu </w:t>
      </w:r>
      <w:r w:rsidR="003F4C01">
        <w:rPr>
          <w:i/>
          <w:iCs/>
        </w:rPr>
        <w:t xml:space="preserve">byla snaha městské pozemky </w:t>
      </w:r>
      <w:r w:rsidR="00D7652F">
        <w:rPr>
          <w:i/>
          <w:iCs/>
        </w:rPr>
        <w:t xml:space="preserve">svěřené Pražské developerské společnosti </w:t>
      </w:r>
      <w:r w:rsidR="00F752E2">
        <w:rPr>
          <w:i/>
          <w:iCs/>
        </w:rPr>
        <w:t xml:space="preserve">dále </w:t>
      </w:r>
      <w:r w:rsidR="003F4C01">
        <w:rPr>
          <w:i/>
          <w:iCs/>
        </w:rPr>
        <w:t xml:space="preserve">kapacitně zhodnocovat. </w:t>
      </w:r>
      <w:r w:rsidR="00D7652F">
        <w:rPr>
          <w:i/>
          <w:iCs/>
        </w:rPr>
        <w:t>Nyní Pražská developerská společnost př</w:t>
      </w:r>
      <w:r w:rsidR="003F4C01">
        <w:rPr>
          <w:i/>
          <w:iCs/>
        </w:rPr>
        <w:t>ipravuje</w:t>
      </w:r>
      <w:r w:rsidR="00D7652F">
        <w:rPr>
          <w:i/>
          <w:iCs/>
        </w:rPr>
        <w:t xml:space="preserve"> zhruba</w:t>
      </w:r>
      <w:r w:rsidR="003F4C01">
        <w:rPr>
          <w:i/>
          <w:iCs/>
        </w:rPr>
        <w:t xml:space="preserve"> 8 tisíc</w:t>
      </w:r>
      <w:r w:rsidR="00D7652F">
        <w:rPr>
          <w:i/>
          <w:iCs/>
        </w:rPr>
        <w:t xml:space="preserve"> bytů</w:t>
      </w:r>
      <w:r w:rsidR="00F752E2">
        <w:rPr>
          <w:i/>
          <w:iCs/>
        </w:rPr>
        <w:t xml:space="preserve">, </w:t>
      </w:r>
      <w:r w:rsidR="003F4C01">
        <w:rPr>
          <w:i/>
          <w:iCs/>
        </w:rPr>
        <w:t>v</w:t>
      </w:r>
      <w:r w:rsidR="00D7652F">
        <w:rPr>
          <w:i/>
          <w:iCs/>
        </w:rPr>
        <w:t> </w:t>
      </w:r>
      <w:r w:rsidR="003F4C01">
        <w:rPr>
          <w:i/>
          <w:iCs/>
        </w:rPr>
        <w:t>M</w:t>
      </w:r>
      <w:r w:rsidR="00D7652F">
        <w:rPr>
          <w:i/>
          <w:iCs/>
        </w:rPr>
        <w:t>etropolitním plánu j</w:t>
      </w:r>
      <w:r w:rsidR="00F752E2">
        <w:rPr>
          <w:i/>
          <w:iCs/>
        </w:rPr>
        <w:t xml:space="preserve">ich je však na městských pozemcích zhruba </w:t>
      </w:r>
      <w:r w:rsidR="003F4C01">
        <w:rPr>
          <w:i/>
          <w:iCs/>
        </w:rPr>
        <w:t>50 t</w:t>
      </w:r>
      <w:r w:rsidR="00D7652F">
        <w:rPr>
          <w:i/>
          <w:iCs/>
        </w:rPr>
        <w:t>isíc</w:t>
      </w:r>
      <w:r w:rsidR="00441835">
        <w:rPr>
          <w:i/>
          <w:iCs/>
        </w:rPr>
        <w:t xml:space="preserve"> a m</w:t>
      </w:r>
      <w:r w:rsidR="00441835" w:rsidRPr="00441835">
        <w:rPr>
          <w:i/>
          <w:iCs/>
        </w:rPr>
        <w:t>ajetkové portfolio města se tak neustále rozvíjí</w:t>
      </w:r>
      <w:r w:rsidR="004B6DCF">
        <w:rPr>
          <w:i/>
          <w:iCs/>
        </w:rPr>
        <w:t>,</w:t>
      </w:r>
      <w:r w:rsidR="00D04666" w:rsidRPr="004227C0">
        <w:rPr>
          <w:i/>
          <w:iCs/>
        </w:rPr>
        <w:t>“</w:t>
      </w:r>
      <w:r w:rsidRPr="004227C0">
        <w:t xml:space="preserve"> říká </w:t>
      </w:r>
      <w:r w:rsidR="00504FBD" w:rsidRPr="004227C0">
        <w:rPr>
          <w:b/>
          <w:bCs/>
        </w:rPr>
        <w:t>Petr Hlaváček</w:t>
      </w:r>
      <w:r w:rsidR="00504FBD" w:rsidRPr="004227C0">
        <w:t>, náměstek primátora hl. m. Prahy pro územní rozvoj.</w:t>
      </w:r>
    </w:p>
    <w:p w14:paraId="7AD56644" w14:textId="67C12A13" w:rsidR="0008253C" w:rsidRPr="00926B78" w:rsidRDefault="0008253C" w:rsidP="00285633">
      <w:pPr>
        <w:pStyle w:val="Odstavecseseznamem"/>
        <w:ind w:left="0"/>
        <w:jc w:val="both"/>
        <w:rPr>
          <w:i/>
          <w:iCs/>
        </w:rPr>
      </w:pPr>
    </w:p>
    <w:p w14:paraId="7F67B61A" w14:textId="53732175" w:rsidR="00EA1DC4" w:rsidRPr="00E14306" w:rsidRDefault="007C507A" w:rsidP="00E14306">
      <w:pPr>
        <w:jc w:val="both"/>
        <w:rPr>
          <w:i/>
          <w:iCs/>
        </w:rPr>
      </w:pPr>
      <w:r w:rsidRPr="008C3729">
        <w:rPr>
          <w:i/>
          <w:iCs/>
        </w:rPr>
        <w:t>„Pravidelné tržní ocenění</w:t>
      </w:r>
      <w:r w:rsidR="008B13C9" w:rsidRPr="008C3729">
        <w:rPr>
          <w:i/>
          <w:iCs/>
        </w:rPr>
        <w:t xml:space="preserve">, které ukazuje aktuální nikoliv účetní hodnotu městských pozemků, pomáhá ke změně </w:t>
      </w:r>
      <w:r w:rsidR="00C1298D" w:rsidRPr="008C3729">
        <w:rPr>
          <w:i/>
          <w:iCs/>
        </w:rPr>
        <w:t xml:space="preserve">vnímání </w:t>
      </w:r>
      <w:r w:rsidR="00052CFC" w:rsidRPr="008C3729">
        <w:rPr>
          <w:i/>
          <w:iCs/>
        </w:rPr>
        <w:t>hodnoty</w:t>
      </w:r>
      <w:r w:rsidR="009D54EE" w:rsidRPr="008C3729">
        <w:rPr>
          <w:i/>
          <w:iCs/>
        </w:rPr>
        <w:t xml:space="preserve"> </w:t>
      </w:r>
      <w:r w:rsidR="00C1298D" w:rsidRPr="008C3729">
        <w:rPr>
          <w:i/>
          <w:iCs/>
        </w:rPr>
        <w:t>veřejných nemo</w:t>
      </w:r>
      <w:r w:rsidR="008B13C9" w:rsidRPr="008C3729">
        <w:rPr>
          <w:i/>
          <w:iCs/>
        </w:rPr>
        <w:t xml:space="preserve">vitostních aktiv a </w:t>
      </w:r>
      <w:r w:rsidR="00DC3880" w:rsidRPr="008C3729">
        <w:rPr>
          <w:i/>
          <w:iCs/>
        </w:rPr>
        <w:t xml:space="preserve">je </w:t>
      </w:r>
      <w:r w:rsidR="008B13C9" w:rsidRPr="008C3729">
        <w:rPr>
          <w:i/>
          <w:iCs/>
        </w:rPr>
        <w:t xml:space="preserve">základem pro strategické rozhodování města o </w:t>
      </w:r>
      <w:r w:rsidR="007E7B05" w:rsidRPr="008C3729">
        <w:rPr>
          <w:i/>
          <w:iCs/>
        </w:rPr>
        <w:t xml:space="preserve">připravovaných </w:t>
      </w:r>
      <w:r w:rsidR="008B13C9" w:rsidRPr="008C3729">
        <w:rPr>
          <w:i/>
          <w:iCs/>
        </w:rPr>
        <w:t xml:space="preserve">investičních projektech a </w:t>
      </w:r>
      <w:r w:rsidR="00052CFC" w:rsidRPr="008C3729">
        <w:rPr>
          <w:i/>
          <w:iCs/>
        </w:rPr>
        <w:t xml:space="preserve">o </w:t>
      </w:r>
      <w:r w:rsidR="00623FD7" w:rsidRPr="008C3729">
        <w:rPr>
          <w:i/>
          <w:iCs/>
        </w:rPr>
        <w:t xml:space="preserve">optimální struktuře jejich financování. </w:t>
      </w:r>
      <w:r w:rsidR="00926B78" w:rsidRPr="008C3729">
        <w:rPr>
          <w:i/>
          <w:iCs/>
        </w:rPr>
        <w:t>Proaktivní činností PDS došlo k významnému navýšení tržní hodnoty portfolia pozemků</w:t>
      </w:r>
      <w:r w:rsidR="009924C3">
        <w:rPr>
          <w:i/>
          <w:iCs/>
        </w:rPr>
        <w:t xml:space="preserve"> v majetku HMP</w:t>
      </w:r>
      <w:r w:rsidR="00926B78" w:rsidRPr="008C3729">
        <w:rPr>
          <w:i/>
          <w:iCs/>
        </w:rPr>
        <w:t xml:space="preserve"> </w:t>
      </w:r>
      <w:r w:rsidR="00EA683D" w:rsidRPr="008C3729">
        <w:rPr>
          <w:i/>
          <w:iCs/>
        </w:rPr>
        <w:t xml:space="preserve">spravovaných </w:t>
      </w:r>
      <w:r w:rsidR="00926B78" w:rsidRPr="008C3729">
        <w:rPr>
          <w:i/>
          <w:iCs/>
        </w:rPr>
        <w:t xml:space="preserve">PDS nad rámec „organického“ zvyšování jejich tržní hodnoty. </w:t>
      </w:r>
      <w:r w:rsidR="00E113FB">
        <w:rPr>
          <w:i/>
          <w:iCs/>
        </w:rPr>
        <w:t xml:space="preserve">Těší mě zejména významný nárůst tržních hodnot </w:t>
      </w:r>
      <w:r w:rsidR="00926B78" w:rsidRPr="008C3729">
        <w:rPr>
          <w:i/>
          <w:iCs/>
        </w:rPr>
        <w:t xml:space="preserve">v klíčových lokalitách na Palmovce a Nových </w:t>
      </w:r>
      <w:r w:rsidR="009C1FDC">
        <w:rPr>
          <w:i/>
          <w:iCs/>
        </w:rPr>
        <w:t>D</w:t>
      </w:r>
      <w:r w:rsidR="00926B78" w:rsidRPr="008C3729">
        <w:rPr>
          <w:i/>
          <w:iCs/>
        </w:rPr>
        <w:t xml:space="preserve">vorech. Jde o výsledek koordinovaného proaktivního systému rozvoje </w:t>
      </w:r>
      <w:r w:rsidR="00EA683D" w:rsidRPr="008C3729">
        <w:rPr>
          <w:i/>
          <w:iCs/>
        </w:rPr>
        <w:t xml:space="preserve">hlavního města </w:t>
      </w:r>
      <w:r w:rsidR="00926B78" w:rsidRPr="008C3729">
        <w:rPr>
          <w:i/>
          <w:iCs/>
        </w:rPr>
        <w:t>v rámci M</w:t>
      </w:r>
      <w:r w:rsidR="00EA683D" w:rsidRPr="008C3729">
        <w:rPr>
          <w:i/>
          <w:iCs/>
        </w:rPr>
        <w:t>agistrátu hl. m. Prahy</w:t>
      </w:r>
      <w:r w:rsidR="00926B78" w:rsidRPr="008C3729">
        <w:rPr>
          <w:i/>
          <w:iCs/>
        </w:rPr>
        <w:t xml:space="preserve">, jehož </w:t>
      </w:r>
      <w:r w:rsidR="00926B78" w:rsidRPr="008C3729">
        <w:rPr>
          <w:i/>
          <w:iCs/>
        </w:rPr>
        <w:lastRenderedPageBreak/>
        <w:t xml:space="preserve">je PDS důležitou součástí. Zvýšení tržních hodnot spočívá </w:t>
      </w:r>
      <w:r w:rsidR="00E113FB">
        <w:rPr>
          <w:i/>
          <w:iCs/>
        </w:rPr>
        <w:t xml:space="preserve">především </w:t>
      </w:r>
      <w:r w:rsidR="00926B78" w:rsidRPr="008C3729">
        <w:rPr>
          <w:i/>
          <w:iCs/>
        </w:rPr>
        <w:t xml:space="preserve">v tom, že </w:t>
      </w:r>
      <w:r w:rsidR="00A356B3">
        <w:rPr>
          <w:i/>
          <w:iCs/>
        </w:rPr>
        <w:t xml:space="preserve">v </w:t>
      </w:r>
      <w:r w:rsidR="00926B78" w:rsidRPr="008C3729">
        <w:rPr>
          <w:i/>
          <w:iCs/>
        </w:rPr>
        <w:t xml:space="preserve">mnoha lokalitách </w:t>
      </w:r>
      <w:r w:rsidR="00E113FB">
        <w:rPr>
          <w:i/>
          <w:iCs/>
        </w:rPr>
        <w:t xml:space="preserve">je řádně využíván anebo zvyšován </w:t>
      </w:r>
      <w:r w:rsidR="008C3729" w:rsidRPr="008C3729">
        <w:rPr>
          <w:i/>
          <w:iCs/>
        </w:rPr>
        <w:t xml:space="preserve">jejich potenciál z hlediska ekonomického, sociálního </w:t>
      </w:r>
      <w:r w:rsidR="004E0EAE">
        <w:rPr>
          <w:i/>
          <w:iCs/>
        </w:rPr>
        <w:br/>
      </w:r>
      <w:r w:rsidR="008C3729" w:rsidRPr="008C3729">
        <w:rPr>
          <w:i/>
          <w:iCs/>
        </w:rPr>
        <w:t>a environmentálního,</w:t>
      </w:r>
      <w:r w:rsidR="00E14306" w:rsidRPr="008C3729">
        <w:rPr>
          <w:i/>
          <w:iCs/>
        </w:rPr>
        <w:t xml:space="preserve">“ </w:t>
      </w:r>
      <w:r w:rsidR="00886BFD">
        <w:t xml:space="preserve">dodává </w:t>
      </w:r>
      <w:r w:rsidR="00886BFD" w:rsidRPr="00BF0242">
        <w:rPr>
          <w:b/>
          <w:bCs/>
        </w:rPr>
        <w:t>Petr Urbánek</w:t>
      </w:r>
      <w:r w:rsidR="00886BFD">
        <w:t>, ředitel PDS.</w:t>
      </w:r>
    </w:p>
    <w:p w14:paraId="1B57D442" w14:textId="48C21182" w:rsidR="00886BFD" w:rsidRDefault="00886BFD" w:rsidP="00285633">
      <w:pPr>
        <w:pStyle w:val="Odstavecseseznamem"/>
        <w:ind w:left="0"/>
        <w:jc w:val="both"/>
      </w:pPr>
      <w:r>
        <w:t xml:space="preserve"> </w:t>
      </w:r>
    </w:p>
    <w:p w14:paraId="42C4493E" w14:textId="36A30479" w:rsidR="00153E9F" w:rsidRPr="00154E1A" w:rsidRDefault="00153E9F" w:rsidP="00FE07B3">
      <w:pPr>
        <w:pStyle w:val="Odstavecseseznamem"/>
        <w:ind w:left="0"/>
        <w:jc w:val="both"/>
      </w:pPr>
      <w:r w:rsidRPr="00154E1A">
        <w:rPr>
          <w:i/>
          <w:iCs/>
        </w:rPr>
        <w:t>„Jak dokládá předložené tržní ocenění, aktivity PDS jednoznačně zvyšují hodnotu městského majetku. Jsem rád, že jsme se v Radě hl. m. Prahy odklonili od úvah o prodeji městských pozemků jako jediné formě jejich zhodnocení pro městskou pokladnu a vydali se cestou aktivního přístupu ke správě městských nemovitostí. Díky tomu městu zůstanou nejen pozemky, ale také kontrola nad tím, co na nich vznikne, což po jejich prodeji už není možné, a pomůže to tak budoucna nejen výstavbě nových městských bytů,“</w:t>
      </w:r>
      <w:r w:rsidRPr="00154E1A">
        <w:t xml:space="preserve"> uvádí radní pro majetek </w:t>
      </w:r>
      <w:r w:rsidRPr="00154E1A">
        <w:rPr>
          <w:b/>
          <w:bCs/>
        </w:rPr>
        <w:t>Adam Zábranský</w:t>
      </w:r>
      <w:r w:rsidRPr="00154E1A">
        <w:t>.</w:t>
      </w:r>
    </w:p>
    <w:p w14:paraId="7EF8AA4C" w14:textId="77777777" w:rsidR="008349C4" w:rsidRDefault="008349C4" w:rsidP="00EA1DC4">
      <w:pPr>
        <w:jc w:val="both"/>
      </w:pPr>
    </w:p>
    <w:p w14:paraId="33776521" w14:textId="7DA288A2" w:rsidR="006F5948" w:rsidRDefault="006F5948" w:rsidP="006F5948">
      <w:pPr>
        <w:jc w:val="both"/>
      </w:pPr>
      <w:r w:rsidRPr="00D51BBB">
        <w:rPr>
          <w:b/>
          <w:bCs/>
        </w:rPr>
        <w:t>Pražská developerská společnost (PDS)</w:t>
      </w:r>
      <w:r>
        <w:t xml:space="preserve"> byla založena z iniciativy Petra Hlaváčka k 1. červnu 2020 jako příspěvková organizace hlavního města Prahy. Jejím cílem je zhodnocení nemovitostních aktiv hl. m. Prahy a příprava projektů především městského nájemního bydlení, aby bylo možné městský bytový fond rozšířit a nabídnout jej zejména zástupcům tzv. </w:t>
      </w:r>
      <w:proofErr w:type="gramStart"/>
      <w:r>
        <w:t>preferovaným profesí</w:t>
      </w:r>
      <w:proofErr w:type="gramEnd"/>
      <w:r w:rsidR="009E7D8D">
        <w:t xml:space="preserve"> a rodičům-samoživitelům</w:t>
      </w:r>
      <w:r>
        <w:t>. PDS bylo rozhodnutím</w:t>
      </w:r>
      <w:r w:rsidR="009E75A7">
        <w:t>i</w:t>
      </w:r>
      <w:r>
        <w:t xml:space="preserve"> Zastupitelstva MHMP předáno k hospodaření </w:t>
      </w:r>
      <w:r w:rsidR="005F5A3F" w:rsidRPr="00A356B3">
        <w:t>757</w:t>
      </w:r>
      <w:r w:rsidR="009E75A7" w:rsidRPr="00A356B3">
        <w:t>.000</w:t>
      </w:r>
      <w:r w:rsidR="009E75A7">
        <w:t xml:space="preserve"> </w:t>
      </w:r>
      <w:r>
        <w:t>m</w:t>
      </w:r>
      <w:r w:rsidRPr="000B3DE6">
        <w:rPr>
          <w:vertAlign w:val="superscript"/>
        </w:rPr>
        <w:t>2</w:t>
      </w:r>
      <w:r>
        <w:t xml:space="preserve"> pozemků ve vlastnictví MHMP, na nichž se počítá s výstavbou 6.000 – 8.000 byt</w:t>
      </w:r>
      <w:r w:rsidR="005F5A3F">
        <w:t xml:space="preserve">ů </w:t>
      </w:r>
      <w:r>
        <w:t>v horizontu až 10</w:t>
      </w:r>
      <w:r w:rsidR="005F5A3F">
        <w:t>-12</w:t>
      </w:r>
      <w:r>
        <w:t xml:space="preserve"> let.   </w:t>
      </w:r>
    </w:p>
    <w:p w14:paraId="066F6EBF" w14:textId="77777777" w:rsidR="006F5948" w:rsidRDefault="006F5948" w:rsidP="006F5948">
      <w:pPr>
        <w:jc w:val="both"/>
      </w:pPr>
    </w:p>
    <w:p w14:paraId="42F73A5A" w14:textId="77777777" w:rsidR="006F5948" w:rsidRDefault="006F5948" w:rsidP="006F5948"/>
    <w:p w14:paraId="21865CB3" w14:textId="77777777" w:rsidR="006F5948" w:rsidRPr="00EE3491" w:rsidRDefault="006F5948" w:rsidP="006F5948">
      <w:pPr>
        <w:jc w:val="both"/>
        <w:rPr>
          <w:b/>
          <w:bCs/>
        </w:rPr>
      </w:pPr>
      <w:r w:rsidRPr="00EE3491">
        <w:rPr>
          <w:b/>
          <w:bCs/>
        </w:rPr>
        <w:t>Více informací poskytn</w:t>
      </w:r>
      <w:r>
        <w:rPr>
          <w:b/>
          <w:bCs/>
        </w:rPr>
        <w:t>ou</w:t>
      </w:r>
      <w:r w:rsidRPr="00EE3491">
        <w:rPr>
          <w:b/>
          <w:bCs/>
        </w:rPr>
        <w:t xml:space="preserve">: </w:t>
      </w:r>
    </w:p>
    <w:tbl>
      <w:tblPr>
        <w:tblStyle w:val="Mkatabulky"/>
        <w:tblW w:w="0" w:type="auto"/>
        <w:tblLook w:val="04A0" w:firstRow="1" w:lastRow="0" w:firstColumn="1" w:lastColumn="0" w:noHBand="0" w:noVBand="1"/>
      </w:tblPr>
      <w:tblGrid>
        <w:gridCol w:w="4531"/>
        <w:gridCol w:w="4531"/>
      </w:tblGrid>
      <w:tr w:rsidR="006F5948" w14:paraId="0B49CE3E" w14:textId="77777777">
        <w:tc>
          <w:tcPr>
            <w:tcW w:w="4531" w:type="dxa"/>
          </w:tcPr>
          <w:p w14:paraId="3A9EF5E0" w14:textId="77777777" w:rsidR="006F5948" w:rsidRPr="00DE4047" w:rsidRDefault="006F5948">
            <w:pPr>
              <w:jc w:val="both"/>
              <w:rPr>
                <w:b/>
                <w:bCs/>
              </w:rPr>
            </w:pPr>
            <w:r w:rsidRPr="00DE4047">
              <w:rPr>
                <w:b/>
                <w:bCs/>
              </w:rPr>
              <w:t>Markéta Miková</w:t>
            </w:r>
          </w:p>
        </w:tc>
        <w:tc>
          <w:tcPr>
            <w:tcW w:w="4531" w:type="dxa"/>
          </w:tcPr>
          <w:p w14:paraId="7F4B6AB6" w14:textId="77777777" w:rsidR="006F5948" w:rsidRPr="00DE4047" w:rsidRDefault="006F5948">
            <w:pPr>
              <w:jc w:val="both"/>
              <w:rPr>
                <w:b/>
                <w:bCs/>
              </w:rPr>
            </w:pPr>
            <w:r w:rsidRPr="00DE4047">
              <w:rPr>
                <w:b/>
                <w:bCs/>
              </w:rPr>
              <w:t>Martin Červinka</w:t>
            </w:r>
          </w:p>
        </w:tc>
      </w:tr>
      <w:tr w:rsidR="006F5948" w14:paraId="07CDC901" w14:textId="77777777">
        <w:tc>
          <w:tcPr>
            <w:tcW w:w="4531" w:type="dxa"/>
          </w:tcPr>
          <w:p w14:paraId="2979D965" w14:textId="77777777" w:rsidR="006F5948" w:rsidRDefault="006F5948">
            <w:pPr>
              <w:jc w:val="both"/>
            </w:pPr>
            <w:r>
              <w:t xml:space="preserve">PR konzultantka </w:t>
            </w:r>
          </w:p>
        </w:tc>
        <w:tc>
          <w:tcPr>
            <w:tcW w:w="4531" w:type="dxa"/>
          </w:tcPr>
          <w:p w14:paraId="4295CC5C" w14:textId="77777777" w:rsidR="006F5948" w:rsidRDefault="006F5948">
            <w:pPr>
              <w:jc w:val="both"/>
            </w:pPr>
            <w:r>
              <w:t>Zástupce ředitele PDS</w:t>
            </w:r>
          </w:p>
        </w:tc>
      </w:tr>
      <w:tr w:rsidR="006F5948" w14:paraId="2F980A58" w14:textId="77777777">
        <w:tc>
          <w:tcPr>
            <w:tcW w:w="4531" w:type="dxa"/>
          </w:tcPr>
          <w:p w14:paraId="7CA4EE32" w14:textId="77777777" w:rsidR="006F5948" w:rsidRDefault="006F5948">
            <w:pPr>
              <w:jc w:val="both"/>
            </w:pPr>
            <w:hyperlink r:id="rId10" w:history="1">
              <w:r w:rsidRPr="00BD2B10">
                <w:rPr>
                  <w:rStyle w:val="Hypertextovodkaz"/>
                </w:rPr>
                <w:t>marketa@marketamikova.cz</w:t>
              </w:r>
            </w:hyperlink>
          </w:p>
        </w:tc>
        <w:tc>
          <w:tcPr>
            <w:tcW w:w="4531" w:type="dxa"/>
          </w:tcPr>
          <w:p w14:paraId="5E52F544" w14:textId="77777777" w:rsidR="006F5948" w:rsidRDefault="006F5948">
            <w:pPr>
              <w:jc w:val="both"/>
            </w:pPr>
            <w:hyperlink r:id="rId11" w:history="1">
              <w:r w:rsidRPr="00BD2B10">
                <w:rPr>
                  <w:rStyle w:val="Hypertextovodkaz"/>
                </w:rPr>
                <w:t>media@pdspraha.eu</w:t>
              </w:r>
            </w:hyperlink>
            <w:r>
              <w:t xml:space="preserve"> </w:t>
            </w:r>
          </w:p>
        </w:tc>
      </w:tr>
      <w:tr w:rsidR="006F5948" w14:paraId="5FF60A25" w14:textId="77777777">
        <w:tc>
          <w:tcPr>
            <w:tcW w:w="4531" w:type="dxa"/>
          </w:tcPr>
          <w:p w14:paraId="76D1A73C" w14:textId="77777777" w:rsidR="006F5948" w:rsidRDefault="006F5948">
            <w:pPr>
              <w:jc w:val="both"/>
            </w:pPr>
            <w:r>
              <w:t>739 057 684</w:t>
            </w:r>
          </w:p>
        </w:tc>
        <w:tc>
          <w:tcPr>
            <w:tcW w:w="4531" w:type="dxa"/>
          </w:tcPr>
          <w:p w14:paraId="64099DC2" w14:textId="77777777" w:rsidR="006F5948" w:rsidRDefault="006F5948">
            <w:pPr>
              <w:jc w:val="both"/>
            </w:pPr>
          </w:p>
        </w:tc>
      </w:tr>
    </w:tbl>
    <w:p w14:paraId="7CF01224" w14:textId="77777777" w:rsidR="006F5948" w:rsidRDefault="006F5948" w:rsidP="006F5948">
      <w:pPr>
        <w:jc w:val="both"/>
      </w:pPr>
    </w:p>
    <w:p w14:paraId="684ED612" w14:textId="77777777" w:rsidR="006F5948" w:rsidRDefault="006F5948" w:rsidP="00285633">
      <w:pPr>
        <w:pStyle w:val="Odstavecseseznamem"/>
        <w:ind w:left="0"/>
        <w:jc w:val="both"/>
      </w:pPr>
    </w:p>
    <w:p w14:paraId="2459CE58" w14:textId="6AF65CDC" w:rsidR="00C640D4" w:rsidRPr="002035DC" w:rsidRDefault="00C640D4" w:rsidP="0074343C">
      <w:pPr>
        <w:jc w:val="both"/>
        <w:rPr>
          <w:color w:val="FF0000"/>
        </w:rPr>
      </w:pPr>
    </w:p>
    <w:sectPr w:rsidR="00C640D4" w:rsidRPr="00203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31F6"/>
    <w:multiLevelType w:val="hybridMultilevel"/>
    <w:tmpl w:val="587269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767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3C"/>
    <w:rsid w:val="00001118"/>
    <w:rsid w:val="00001FAF"/>
    <w:rsid w:val="000025A7"/>
    <w:rsid w:val="00006503"/>
    <w:rsid w:val="000105F9"/>
    <w:rsid w:val="000258EA"/>
    <w:rsid w:val="00025E07"/>
    <w:rsid w:val="00030B10"/>
    <w:rsid w:val="00050E63"/>
    <w:rsid w:val="00052CFC"/>
    <w:rsid w:val="00057D00"/>
    <w:rsid w:val="00070498"/>
    <w:rsid w:val="00077AD5"/>
    <w:rsid w:val="0008253C"/>
    <w:rsid w:val="000A179F"/>
    <w:rsid w:val="000C3D32"/>
    <w:rsid w:val="000C7568"/>
    <w:rsid w:val="000D0EB6"/>
    <w:rsid w:val="000D2948"/>
    <w:rsid w:val="000E05AA"/>
    <w:rsid w:val="000E50D1"/>
    <w:rsid w:val="001067B0"/>
    <w:rsid w:val="00123A98"/>
    <w:rsid w:val="00142D68"/>
    <w:rsid w:val="001500E6"/>
    <w:rsid w:val="00153E9F"/>
    <w:rsid w:val="00154E1A"/>
    <w:rsid w:val="0015533C"/>
    <w:rsid w:val="00163C2C"/>
    <w:rsid w:val="0016571F"/>
    <w:rsid w:val="00170D13"/>
    <w:rsid w:val="00183982"/>
    <w:rsid w:val="001A3A98"/>
    <w:rsid w:val="001A6B78"/>
    <w:rsid w:val="001D30F2"/>
    <w:rsid w:val="001F2F63"/>
    <w:rsid w:val="002035DC"/>
    <w:rsid w:val="00215BDC"/>
    <w:rsid w:val="00222E63"/>
    <w:rsid w:val="00235602"/>
    <w:rsid w:val="002415FB"/>
    <w:rsid w:val="002669E5"/>
    <w:rsid w:val="00266CDF"/>
    <w:rsid w:val="00285633"/>
    <w:rsid w:val="00286645"/>
    <w:rsid w:val="002931BB"/>
    <w:rsid w:val="002B6E22"/>
    <w:rsid w:val="002C09D3"/>
    <w:rsid w:val="002C4603"/>
    <w:rsid w:val="002C484E"/>
    <w:rsid w:val="002F20A5"/>
    <w:rsid w:val="002F718F"/>
    <w:rsid w:val="00320766"/>
    <w:rsid w:val="0032207B"/>
    <w:rsid w:val="00332E30"/>
    <w:rsid w:val="00342A5A"/>
    <w:rsid w:val="00366DA4"/>
    <w:rsid w:val="003733E2"/>
    <w:rsid w:val="003739B7"/>
    <w:rsid w:val="00385FE6"/>
    <w:rsid w:val="00397AB4"/>
    <w:rsid w:val="003A2978"/>
    <w:rsid w:val="003E5EE1"/>
    <w:rsid w:val="003F044C"/>
    <w:rsid w:val="003F2245"/>
    <w:rsid w:val="003F3729"/>
    <w:rsid w:val="003F4C01"/>
    <w:rsid w:val="003F6DA8"/>
    <w:rsid w:val="00406082"/>
    <w:rsid w:val="0041598F"/>
    <w:rsid w:val="00416DDF"/>
    <w:rsid w:val="004227C0"/>
    <w:rsid w:val="00426B97"/>
    <w:rsid w:val="004273F3"/>
    <w:rsid w:val="004279CE"/>
    <w:rsid w:val="00441835"/>
    <w:rsid w:val="00446E0E"/>
    <w:rsid w:val="0046385A"/>
    <w:rsid w:val="004831B5"/>
    <w:rsid w:val="004A13E5"/>
    <w:rsid w:val="004A3062"/>
    <w:rsid w:val="004A603C"/>
    <w:rsid w:val="004B4ED0"/>
    <w:rsid w:val="004B6DCF"/>
    <w:rsid w:val="004D73AD"/>
    <w:rsid w:val="004E0EAE"/>
    <w:rsid w:val="00504FBD"/>
    <w:rsid w:val="005106B4"/>
    <w:rsid w:val="00511171"/>
    <w:rsid w:val="0052160F"/>
    <w:rsid w:val="0055640B"/>
    <w:rsid w:val="005571CE"/>
    <w:rsid w:val="00562588"/>
    <w:rsid w:val="00582FA6"/>
    <w:rsid w:val="005A1329"/>
    <w:rsid w:val="005B3438"/>
    <w:rsid w:val="005D3CCB"/>
    <w:rsid w:val="005E0601"/>
    <w:rsid w:val="005F1B46"/>
    <w:rsid w:val="005F5A3F"/>
    <w:rsid w:val="0060680E"/>
    <w:rsid w:val="00623FD7"/>
    <w:rsid w:val="0065338D"/>
    <w:rsid w:val="00656DA1"/>
    <w:rsid w:val="0065797C"/>
    <w:rsid w:val="006726F6"/>
    <w:rsid w:val="006A3D03"/>
    <w:rsid w:val="006A4312"/>
    <w:rsid w:val="006B2C3A"/>
    <w:rsid w:val="006C3EEA"/>
    <w:rsid w:val="006C47F4"/>
    <w:rsid w:val="006D16E6"/>
    <w:rsid w:val="006D20F0"/>
    <w:rsid w:val="006E3DBC"/>
    <w:rsid w:val="006F5948"/>
    <w:rsid w:val="006F767F"/>
    <w:rsid w:val="00712516"/>
    <w:rsid w:val="007264AB"/>
    <w:rsid w:val="007269FC"/>
    <w:rsid w:val="0074343C"/>
    <w:rsid w:val="00743F2C"/>
    <w:rsid w:val="00754764"/>
    <w:rsid w:val="00785CFA"/>
    <w:rsid w:val="00786EE6"/>
    <w:rsid w:val="007B71C0"/>
    <w:rsid w:val="007C507A"/>
    <w:rsid w:val="007C6E81"/>
    <w:rsid w:val="007D22BB"/>
    <w:rsid w:val="007E7B05"/>
    <w:rsid w:val="007F49C9"/>
    <w:rsid w:val="007F58A0"/>
    <w:rsid w:val="00810B72"/>
    <w:rsid w:val="00814C2B"/>
    <w:rsid w:val="008349C4"/>
    <w:rsid w:val="008374AA"/>
    <w:rsid w:val="00853E27"/>
    <w:rsid w:val="00856D52"/>
    <w:rsid w:val="0087095D"/>
    <w:rsid w:val="00886BFD"/>
    <w:rsid w:val="00886C2D"/>
    <w:rsid w:val="008A7A88"/>
    <w:rsid w:val="008A7E8A"/>
    <w:rsid w:val="008B0266"/>
    <w:rsid w:val="008B13C9"/>
    <w:rsid w:val="008B3768"/>
    <w:rsid w:val="008C3729"/>
    <w:rsid w:val="008C74F8"/>
    <w:rsid w:val="008D39AE"/>
    <w:rsid w:val="008D7745"/>
    <w:rsid w:val="00911AF6"/>
    <w:rsid w:val="009159AE"/>
    <w:rsid w:val="00920C45"/>
    <w:rsid w:val="009261DD"/>
    <w:rsid w:val="00926B78"/>
    <w:rsid w:val="00930077"/>
    <w:rsid w:val="009577C1"/>
    <w:rsid w:val="00965148"/>
    <w:rsid w:val="00971BAC"/>
    <w:rsid w:val="009738C7"/>
    <w:rsid w:val="0098627F"/>
    <w:rsid w:val="009924C3"/>
    <w:rsid w:val="00995B5D"/>
    <w:rsid w:val="009A30C7"/>
    <w:rsid w:val="009A425C"/>
    <w:rsid w:val="009C1FDC"/>
    <w:rsid w:val="009C3250"/>
    <w:rsid w:val="009D54EE"/>
    <w:rsid w:val="009E5BD9"/>
    <w:rsid w:val="009E75A7"/>
    <w:rsid w:val="009E7D8D"/>
    <w:rsid w:val="00A041E6"/>
    <w:rsid w:val="00A1011B"/>
    <w:rsid w:val="00A10DA7"/>
    <w:rsid w:val="00A11AE0"/>
    <w:rsid w:val="00A21B57"/>
    <w:rsid w:val="00A22F33"/>
    <w:rsid w:val="00A23087"/>
    <w:rsid w:val="00A30B6D"/>
    <w:rsid w:val="00A356B3"/>
    <w:rsid w:val="00A43725"/>
    <w:rsid w:val="00A4749F"/>
    <w:rsid w:val="00A62A1C"/>
    <w:rsid w:val="00A63BF9"/>
    <w:rsid w:val="00A63ED7"/>
    <w:rsid w:val="00A67BCE"/>
    <w:rsid w:val="00A74C7D"/>
    <w:rsid w:val="00A76321"/>
    <w:rsid w:val="00A80E9B"/>
    <w:rsid w:val="00A832AD"/>
    <w:rsid w:val="00A84A8B"/>
    <w:rsid w:val="00AA32A2"/>
    <w:rsid w:val="00AA7DE0"/>
    <w:rsid w:val="00AC16BD"/>
    <w:rsid w:val="00B01CCD"/>
    <w:rsid w:val="00B27FC9"/>
    <w:rsid w:val="00B33B9B"/>
    <w:rsid w:val="00B52122"/>
    <w:rsid w:val="00B53C45"/>
    <w:rsid w:val="00B77F08"/>
    <w:rsid w:val="00B83675"/>
    <w:rsid w:val="00B875C2"/>
    <w:rsid w:val="00B87F33"/>
    <w:rsid w:val="00B90F3A"/>
    <w:rsid w:val="00B9116F"/>
    <w:rsid w:val="00BB07CF"/>
    <w:rsid w:val="00BB2EBD"/>
    <w:rsid w:val="00BB7FCD"/>
    <w:rsid w:val="00BD061D"/>
    <w:rsid w:val="00BD2F31"/>
    <w:rsid w:val="00BD7550"/>
    <w:rsid w:val="00BE03B6"/>
    <w:rsid w:val="00BF0242"/>
    <w:rsid w:val="00C06C5E"/>
    <w:rsid w:val="00C1298D"/>
    <w:rsid w:val="00C14E4E"/>
    <w:rsid w:val="00C16C62"/>
    <w:rsid w:val="00C175CC"/>
    <w:rsid w:val="00C2597C"/>
    <w:rsid w:val="00C36A76"/>
    <w:rsid w:val="00C4136B"/>
    <w:rsid w:val="00C45ADC"/>
    <w:rsid w:val="00C50398"/>
    <w:rsid w:val="00C640D4"/>
    <w:rsid w:val="00C72999"/>
    <w:rsid w:val="00C97174"/>
    <w:rsid w:val="00CA1AB2"/>
    <w:rsid w:val="00CA270E"/>
    <w:rsid w:val="00CE532D"/>
    <w:rsid w:val="00CE6A54"/>
    <w:rsid w:val="00D04666"/>
    <w:rsid w:val="00D24A9D"/>
    <w:rsid w:val="00D41F8F"/>
    <w:rsid w:val="00D42C9F"/>
    <w:rsid w:val="00D646A5"/>
    <w:rsid w:val="00D7652F"/>
    <w:rsid w:val="00D80185"/>
    <w:rsid w:val="00D813CE"/>
    <w:rsid w:val="00D83D38"/>
    <w:rsid w:val="00D92179"/>
    <w:rsid w:val="00DA64BF"/>
    <w:rsid w:val="00DB0EB8"/>
    <w:rsid w:val="00DC3880"/>
    <w:rsid w:val="00DC683D"/>
    <w:rsid w:val="00DD5EA3"/>
    <w:rsid w:val="00DE6C4B"/>
    <w:rsid w:val="00DF4238"/>
    <w:rsid w:val="00DF4787"/>
    <w:rsid w:val="00E05EC4"/>
    <w:rsid w:val="00E113FB"/>
    <w:rsid w:val="00E14306"/>
    <w:rsid w:val="00E23331"/>
    <w:rsid w:val="00E312E8"/>
    <w:rsid w:val="00E52D61"/>
    <w:rsid w:val="00E94F32"/>
    <w:rsid w:val="00EA0DB7"/>
    <w:rsid w:val="00EA1DC4"/>
    <w:rsid w:val="00EA683D"/>
    <w:rsid w:val="00EE38E9"/>
    <w:rsid w:val="00EF7CF6"/>
    <w:rsid w:val="00F0576D"/>
    <w:rsid w:val="00F122D8"/>
    <w:rsid w:val="00F27AA6"/>
    <w:rsid w:val="00F44F4B"/>
    <w:rsid w:val="00F51EA2"/>
    <w:rsid w:val="00F53710"/>
    <w:rsid w:val="00F55A1A"/>
    <w:rsid w:val="00F569DF"/>
    <w:rsid w:val="00F56F47"/>
    <w:rsid w:val="00F62B0A"/>
    <w:rsid w:val="00F65ED9"/>
    <w:rsid w:val="00F66BD6"/>
    <w:rsid w:val="00F752E2"/>
    <w:rsid w:val="00F75439"/>
    <w:rsid w:val="00F7683C"/>
    <w:rsid w:val="00F7733F"/>
    <w:rsid w:val="00FD7A58"/>
    <w:rsid w:val="00FE070F"/>
    <w:rsid w:val="00FE07B3"/>
    <w:rsid w:val="00FF20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F813"/>
  <w15:chartTrackingRefBased/>
  <w15:docId w15:val="{0E3997B0-23E3-4C74-A7E0-139D20BF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43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4343C"/>
    <w:rPr>
      <w:color w:val="0563C1" w:themeColor="hyperlink"/>
      <w:u w:val="single"/>
    </w:rPr>
  </w:style>
  <w:style w:type="table" w:styleId="Mkatabulky">
    <w:name w:val="Table Grid"/>
    <w:basedOn w:val="Normlntabulka"/>
    <w:uiPriority w:val="39"/>
    <w:rsid w:val="005F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669E5"/>
    <w:rPr>
      <w:color w:val="605E5C"/>
      <w:shd w:val="clear" w:color="auto" w:fill="E1DFDD"/>
    </w:rPr>
  </w:style>
  <w:style w:type="character" w:styleId="Odkaznakoment">
    <w:name w:val="annotation reference"/>
    <w:basedOn w:val="Standardnpsmoodstavce"/>
    <w:uiPriority w:val="99"/>
    <w:semiHidden/>
    <w:unhideWhenUsed/>
    <w:rsid w:val="007D22BB"/>
    <w:rPr>
      <w:sz w:val="16"/>
      <w:szCs w:val="16"/>
    </w:rPr>
  </w:style>
  <w:style w:type="paragraph" w:styleId="Textkomente">
    <w:name w:val="annotation text"/>
    <w:basedOn w:val="Normln"/>
    <w:link w:val="TextkomenteChar"/>
    <w:uiPriority w:val="99"/>
    <w:semiHidden/>
    <w:unhideWhenUsed/>
    <w:rsid w:val="007D22BB"/>
    <w:rPr>
      <w:sz w:val="20"/>
      <w:szCs w:val="20"/>
    </w:rPr>
  </w:style>
  <w:style w:type="character" w:customStyle="1" w:styleId="TextkomenteChar">
    <w:name w:val="Text komentáře Char"/>
    <w:basedOn w:val="Standardnpsmoodstavce"/>
    <w:link w:val="Textkomente"/>
    <w:uiPriority w:val="99"/>
    <w:semiHidden/>
    <w:rsid w:val="007D22BB"/>
    <w:rPr>
      <w:sz w:val="20"/>
      <w:szCs w:val="20"/>
    </w:rPr>
  </w:style>
  <w:style w:type="paragraph" w:styleId="Pedmtkomente">
    <w:name w:val="annotation subject"/>
    <w:basedOn w:val="Textkomente"/>
    <w:next w:val="Textkomente"/>
    <w:link w:val="PedmtkomenteChar"/>
    <w:uiPriority w:val="99"/>
    <w:semiHidden/>
    <w:unhideWhenUsed/>
    <w:rsid w:val="007D22BB"/>
    <w:rPr>
      <w:b/>
      <w:bCs/>
    </w:rPr>
  </w:style>
  <w:style w:type="character" w:customStyle="1" w:styleId="PedmtkomenteChar">
    <w:name w:val="Předmět komentáře Char"/>
    <w:basedOn w:val="TextkomenteChar"/>
    <w:link w:val="Pedmtkomente"/>
    <w:uiPriority w:val="99"/>
    <w:semiHidden/>
    <w:rsid w:val="007D22BB"/>
    <w:rPr>
      <w:b/>
      <w:bCs/>
      <w:sz w:val="20"/>
      <w:szCs w:val="20"/>
    </w:rPr>
  </w:style>
  <w:style w:type="paragraph" w:styleId="Textbubliny">
    <w:name w:val="Balloon Text"/>
    <w:basedOn w:val="Normln"/>
    <w:link w:val="TextbublinyChar"/>
    <w:uiPriority w:val="99"/>
    <w:semiHidden/>
    <w:unhideWhenUsed/>
    <w:rsid w:val="00B27FC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7FC9"/>
    <w:rPr>
      <w:rFonts w:ascii="Segoe UI" w:hAnsi="Segoe UI" w:cs="Segoe UI"/>
      <w:sz w:val="18"/>
      <w:szCs w:val="18"/>
    </w:rPr>
  </w:style>
  <w:style w:type="paragraph" w:styleId="Odstavecseseznamem">
    <w:name w:val="List Paragraph"/>
    <w:basedOn w:val="Normln"/>
    <w:uiPriority w:val="34"/>
    <w:qFormat/>
    <w:rsid w:val="00285633"/>
    <w:pPr>
      <w:ind w:left="720"/>
      <w:contextualSpacing/>
    </w:pPr>
  </w:style>
  <w:style w:type="paragraph" w:styleId="Revize">
    <w:name w:val="Revision"/>
    <w:hidden/>
    <w:uiPriority w:val="99"/>
    <w:semiHidden/>
    <w:rsid w:val="00C72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7359">
      <w:bodyDiv w:val="1"/>
      <w:marLeft w:val="0"/>
      <w:marRight w:val="0"/>
      <w:marTop w:val="0"/>
      <w:marBottom w:val="0"/>
      <w:divBdr>
        <w:top w:val="none" w:sz="0" w:space="0" w:color="auto"/>
        <w:left w:val="none" w:sz="0" w:space="0" w:color="auto"/>
        <w:bottom w:val="none" w:sz="0" w:space="0" w:color="auto"/>
        <w:right w:val="none" w:sz="0" w:space="0" w:color="auto"/>
      </w:divBdr>
    </w:div>
    <w:div w:id="700208643">
      <w:bodyDiv w:val="1"/>
      <w:marLeft w:val="0"/>
      <w:marRight w:val="0"/>
      <w:marTop w:val="0"/>
      <w:marBottom w:val="0"/>
      <w:divBdr>
        <w:top w:val="none" w:sz="0" w:space="0" w:color="auto"/>
        <w:left w:val="none" w:sz="0" w:space="0" w:color="auto"/>
        <w:bottom w:val="none" w:sz="0" w:space="0" w:color="auto"/>
        <w:right w:val="none" w:sz="0" w:space="0" w:color="auto"/>
      </w:divBdr>
    </w:div>
    <w:div w:id="16024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pdspraha.eu" TargetMode="External"/><Relationship Id="rId5" Type="http://schemas.openxmlformats.org/officeDocument/2006/relationships/numbering" Target="numbering.xml"/><Relationship Id="rId10" Type="http://schemas.openxmlformats.org/officeDocument/2006/relationships/hyperlink" Target="mailto:marketa@marketamikova.cz"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18b812-7469-4071-aceb-16def02e16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6848176BC91D443BE4D703E97D444A6" ma:contentTypeVersion="13" ma:contentTypeDescription="Vytvoří nový dokument" ma:contentTypeScope="" ma:versionID="860d94f7a3c4b6c0f0b6ec350679db82">
  <xsd:schema xmlns:xsd="http://www.w3.org/2001/XMLSchema" xmlns:xs="http://www.w3.org/2001/XMLSchema" xmlns:p="http://schemas.microsoft.com/office/2006/metadata/properties" xmlns:ns3="e018b812-7469-4071-aceb-16def02e1681" xmlns:ns4="8991b91f-50b9-4829-979a-6a6d7450224e" targetNamespace="http://schemas.microsoft.com/office/2006/metadata/properties" ma:root="true" ma:fieldsID="7ebdafd3690cab1354ffd14bdb62d664" ns3:_="" ns4:_="">
    <xsd:import namespace="e018b812-7469-4071-aceb-16def02e1681"/>
    <xsd:import namespace="8991b91f-50b9-4829-979a-6a6d745022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b812-7469-4071-aceb-16def02e1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1b91f-50b9-4829-979a-6a6d7450224e"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314CB-16BF-4F56-A981-1CAED2BD4FAE}">
  <ds:schemaRefs>
    <ds:schemaRef ds:uri="http://schemas.microsoft.com/office/2006/metadata/properties"/>
    <ds:schemaRef ds:uri="http://schemas.microsoft.com/office/infopath/2007/PartnerControls"/>
    <ds:schemaRef ds:uri="e018b812-7469-4071-aceb-16def02e1681"/>
  </ds:schemaRefs>
</ds:datastoreItem>
</file>

<file path=customXml/itemProps2.xml><?xml version="1.0" encoding="utf-8"?>
<ds:datastoreItem xmlns:ds="http://schemas.openxmlformats.org/officeDocument/2006/customXml" ds:itemID="{70D45C5D-0ACE-4E45-B8CB-1975A9528D4C}">
  <ds:schemaRefs>
    <ds:schemaRef ds:uri="http://schemas.microsoft.com/sharepoint/v3/contenttype/forms"/>
  </ds:schemaRefs>
</ds:datastoreItem>
</file>

<file path=customXml/itemProps3.xml><?xml version="1.0" encoding="utf-8"?>
<ds:datastoreItem xmlns:ds="http://schemas.openxmlformats.org/officeDocument/2006/customXml" ds:itemID="{26714C5B-D097-4603-9D09-D1E2A2932A05}">
  <ds:schemaRefs>
    <ds:schemaRef ds:uri="http://schemas.openxmlformats.org/officeDocument/2006/bibliography"/>
  </ds:schemaRefs>
</ds:datastoreItem>
</file>

<file path=customXml/itemProps4.xml><?xml version="1.0" encoding="utf-8"?>
<ds:datastoreItem xmlns:ds="http://schemas.openxmlformats.org/officeDocument/2006/customXml" ds:itemID="{309BA372-7084-4795-9217-48381DC2E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b812-7469-4071-aceb-16def02e1681"/>
    <ds:schemaRef ds:uri="8991b91f-50b9-4829-979a-6a6d74502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4155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Miková</dc:creator>
  <cp:keywords/>
  <dc:description/>
  <cp:lastModifiedBy>Markéta Miková </cp:lastModifiedBy>
  <cp:revision>2</cp:revision>
  <cp:lastPrinted>2024-10-30T13:56:00Z</cp:lastPrinted>
  <dcterms:created xsi:type="dcterms:W3CDTF">2025-11-07T17:13:00Z</dcterms:created>
  <dcterms:modified xsi:type="dcterms:W3CDTF">2025-11-07T17:13:00Z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0x010100A6848176BC91D443BE4D703E97D444A6</vt:lpwstr>
  </property>
</Properties>
</file>